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pPr>
      <w:r>
        <w:t xml:space="preserve"/>
      </w:r>
    </w:p>
    <w:p>
      <w:pPr>
        <w:spacing w:after="400"/>
        <w:jc w:val="center"/>
      </w:pPr>
      <w:r>
        <w:rPr>
          <w:rFonts w:ascii="Calibri" w:cs="Calibri" w:eastAsia="Calibri" w:hAnsi="Calibri"/>
          <w:b/>
          <w:bCs/>
          <w:caps/>
          <w:color w:val="64748B"/>
          <w:sz w:val="24"/>
          <w:szCs w:val="24"/>
        </w:rPr>
        <w:t xml:space="preserve">SERI LITERASI WAKAF — NAZHIRLY</w:t>
      </w:r>
    </w:p>
    <w:p>
      <w:pPr>
        <w:spacing w:after="200"/>
        <w:jc w:val="center"/>
      </w:pPr>
      <w:r>
        <w:rPr>
          <w:rFonts w:ascii="Calibri" w:cs="Calibri" w:eastAsia="Calibri" w:hAnsi="Calibri"/>
          <w:b/>
          <w:bCs/>
          <w:color w:val="065F46"/>
          <w:sz w:val="56"/>
          <w:szCs w:val="56"/>
        </w:rPr>
        <w:t xml:space="preserve">Akuntansi dan Pelaporan Wakaf</w:t>
      </w:r>
    </w:p>
    <w:p>
      <w:pPr>
        <w:spacing w:after="800"/>
        <w:jc w:val="center"/>
      </w:pPr>
      <w:r>
        <w:rPr>
          <w:rFonts w:ascii="Calibri" w:cs="Calibri" w:eastAsia="Calibri" w:hAnsi="Calibri"/>
          <w:i/>
          <w:iCs/>
          <w:color w:val="1E293B"/>
          <w:sz w:val="26"/>
          <w:szCs w:val="26"/>
        </w:rPr>
        <w:t xml:space="preserve">Penerapan PSAK 412 (Dahulu PSAK 112): Akuntansi Wakaf bagi Nazhir dan Wakif</w:t>
      </w:r>
    </w:p>
    <w:tbl>
      <w:tblPr>
        <w:tblW w:type="pct" w:w="8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5%"/>
            <w:shd w:fill="065F46" w:color="auto" w:val="clear"/>
            <w:tcMar>
              <w:top w:type="dxa" w:w="150"/>
              <w:left w:type="dxa" w:w="200"/>
              <w:bottom w:type="dxa" w:w="150"/>
              <w:right w:type="dxa" w:w="150"/>
            </w:tcMar>
          </w:tcPr>
          <w:p>
            <w:r>
              <w:rPr>
                <w:rFonts w:ascii="Calibri" w:cs="Calibri" w:eastAsia="Calibri" w:hAnsi="Calibri"/>
                <w:b/>
                <w:bCs/>
                <w:color w:val="FFFFFF"/>
                <w:sz w:val="21"/>
                <w:szCs w:val="21"/>
              </w:rPr>
              <w:t xml:space="preserve">Kategori</w:t>
            </w:r>
          </w:p>
        </w:tc>
        <w:tc>
          <w:tcPr>
            <w:tcW w:type="pct" w:w="65%"/>
            <w:shd w:fill="ECFDF5" w:color="auto" w:val="clear"/>
            <w:tcMar>
              <w:top w:type="dxa" w:w="150"/>
              <w:left w:type="dxa" w:w="200"/>
              <w:bottom w:type="dxa" w:w="150"/>
              <w:right w:type="dxa" w:w="150"/>
            </w:tcMar>
          </w:tcPr>
          <w:p>
            <w:r>
              <w:rPr>
                <w:rFonts w:ascii="Calibri" w:cs="Calibri" w:eastAsia="Calibri" w:hAnsi="Calibri"/>
                <w:color w:val="1E293B"/>
                <w:sz w:val="21"/>
                <w:szCs w:val="21"/>
              </w:rPr>
              <w:t xml:space="preserve">Praktisi/Pengelola — Buku 3 dari 8</w:t>
            </w:r>
          </w:p>
        </w:tc>
      </w:tr>
      <w:tr>
        <w:trPr>
          <w:cantSplit/>
        </w:trPr>
        <w:tc>
          <w:tcPr>
            <w:tcW w:type="pct" w:w="35%"/>
            <w:shd w:fill="065F46" w:color="auto" w:val="clear"/>
            <w:tcMar>
              <w:top w:type="dxa" w:w="150"/>
              <w:left w:type="dxa" w:w="200"/>
              <w:bottom w:type="dxa" w:w="150"/>
              <w:right w:type="dxa" w:w="150"/>
            </w:tcMar>
          </w:tcPr>
          <w:p>
            <w:r>
              <w:rPr>
                <w:rFonts w:ascii="Calibri" w:cs="Calibri" w:eastAsia="Calibri" w:hAnsi="Calibri"/>
                <w:b/>
                <w:bCs/>
                <w:color w:val="FFFFFF"/>
                <w:sz w:val="21"/>
                <w:szCs w:val="21"/>
              </w:rPr>
              <w:t xml:space="preserve">Target Pembaca</w:t>
            </w:r>
          </w:p>
        </w:tc>
        <w:tc>
          <w:tcPr>
            <w:tcW w:type="pct" w:w="65%"/>
            <w:shd w:fill="ECFDF5" w:color="auto" w:val="clear"/>
            <w:tcMar>
              <w:top w:type="dxa" w:w="150"/>
              <w:left w:type="dxa" w:w="200"/>
              <w:bottom w:type="dxa" w:w="150"/>
              <w:right w:type="dxa" w:w="150"/>
            </w:tcMar>
          </w:tcPr>
          <w:p>
            <w:r>
              <w:rPr>
                <w:rFonts w:ascii="Calibri" w:cs="Calibri" w:eastAsia="Calibri" w:hAnsi="Calibri"/>
                <w:color w:val="1E293B"/>
                <w:sz w:val="21"/>
                <w:szCs w:val="21"/>
              </w:rPr>
              <w:t xml:space="preserve">Staf akuntansi dan keuangan nazhir/LKS-PWU, serta auditor internal</w:t>
            </w:r>
          </w:p>
        </w:tc>
      </w:tr>
      <w:tr>
        <w:trPr>
          <w:cantSplit/>
        </w:trPr>
        <w:tc>
          <w:tcPr>
            <w:tcW w:type="pct" w:w="35%"/>
            <w:shd w:fill="065F46" w:color="auto" w:val="clear"/>
            <w:tcMar>
              <w:top w:type="dxa" w:w="150"/>
              <w:left w:type="dxa" w:w="200"/>
              <w:bottom w:type="dxa" w:w="150"/>
              <w:right w:type="dxa" w:w="150"/>
            </w:tcMar>
          </w:tcPr>
          <w:p>
            <w:r>
              <w:rPr>
                <w:rFonts w:ascii="Calibri" w:cs="Calibri" w:eastAsia="Calibri" w:hAnsi="Calibri"/>
                <w:b/>
                <w:bCs/>
                <w:color w:val="FFFFFF"/>
                <w:sz w:val="21"/>
                <w:szCs w:val="21"/>
              </w:rPr>
              <w:t xml:space="preserve">Level</w:t>
            </w:r>
          </w:p>
        </w:tc>
        <w:tc>
          <w:tcPr>
            <w:tcW w:type="pct" w:w="65%"/>
            <w:shd w:fill="ECFDF5" w:color="auto" w:val="clear"/>
            <w:tcMar>
              <w:top w:type="dxa" w:w="150"/>
              <w:left w:type="dxa" w:w="200"/>
              <w:bottom w:type="dxa" w:w="150"/>
              <w:right w:type="dxa" w:w="150"/>
            </w:tcMar>
          </w:tcPr>
          <w:p>
            <w:r>
              <w:rPr>
                <w:rFonts w:ascii="Calibri" w:cs="Calibri" w:eastAsia="Calibri" w:hAnsi="Calibri"/>
                <w:color w:val="1E293B"/>
                <w:sz w:val="21"/>
                <w:szCs w:val="21"/>
              </w:rPr>
              <w:t xml:space="preserve">Menengah–Lanjut</w:t>
            </w:r>
          </w:p>
        </w:tc>
      </w:tr>
      <w:tr>
        <w:trPr>
          <w:cantSplit/>
        </w:trPr>
        <w:tc>
          <w:tcPr>
            <w:tcW w:type="pct" w:w="35%"/>
            <w:shd w:fill="065F46" w:color="auto" w:val="clear"/>
            <w:tcMar>
              <w:top w:type="dxa" w:w="150"/>
              <w:left w:type="dxa" w:w="200"/>
              <w:bottom w:type="dxa" w:w="150"/>
              <w:right w:type="dxa" w:w="150"/>
            </w:tcMar>
          </w:tcPr>
          <w:p>
            <w:r>
              <w:rPr>
                <w:rFonts w:ascii="Calibri" w:cs="Calibri" w:eastAsia="Calibri" w:hAnsi="Calibri"/>
                <w:b/>
                <w:bCs/>
                <w:color w:val="FFFFFF"/>
                <w:sz w:val="21"/>
                <w:szCs w:val="21"/>
              </w:rPr>
              <w:t xml:space="preserve">Estimasi Panjang</w:t>
            </w:r>
          </w:p>
        </w:tc>
        <w:tc>
          <w:tcPr>
            <w:tcW w:type="pct" w:w="65%"/>
            <w:shd w:fill="ECFDF5" w:color="auto" w:val="clear"/>
            <w:tcMar>
              <w:top w:type="dxa" w:w="150"/>
              <w:left w:type="dxa" w:w="200"/>
              <w:bottom w:type="dxa" w:w="150"/>
              <w:right w:type="dxa" w:w="150"/>
            </w:tcMar>
          </w:tcPr>
          <w:p>
            <w:r>
              <w:rPr>
                <w:rFonts w:ascii="Calibri" w:cs="Calibri" w:eastAsia="Calibri" w:hAnsi="Calibri"/>
                <w:color w:val="1E293B"/>
                <w:sz w:val="21"/>
                <w:szCs w:val="21"/>
              </w:rPr>
              <w:t xml:space="preserve">90–110 halaman</w:t>
            </w:r>
          </w:p>
        </w:tc>
      </w:tr>
    </w:tbl>
    <w:p>
      <w:pPr>
        <w:spacing w:before="1000"/>
        <w:jc w:val="center"/>
      </w:pPr>
      <w:r>
        <w:rPr>
          <w:rFonts w:ascii="Calibri" w:cs="Calibri" w:eastAsia="Calibri" w:hAnsi="Calibri"/>
          <w:b/>
          <w:bCs/>
          <w:color w:val="065F46"/>
          <w:sz w:val="24"/>
          <w:szCs w:val="24"/>
        </w:rPr>
        <w:t xml:space="preserve">BPRS Baktimakmur Indah</w:t>
      </w:r>
    </w:p>
    <w:p>
      <w:pPr>
        <w:jc w:val="center"/>
      </w:pPr>
      <w:r>
        <w:rPr>
          <w:rFonts w:ascii="Calibri" w:cs="Calibri" w:eastAsia="Calibri" w:hAnsi="Calibri"/>
          <w:color w:val="64748B"/>
          <w:sz w:val="22"/>
          <w:szCs w:val="22"/>
        </w:rPr>
        <w:t xml:space="preserve">2026</w:t>
      </w:r>
    </w:p>
    <w:p>
      <w:pPr>
        <w:pStyle w:val="Heading1"/>
        <w:pageBreakBefore/>
        <w:spacing w:after="400" w:before="200"/>
      </w:pPr>
      <w:r>
        <w:rPr>
          <w:rFonts w:ascii="Calibri" w:cs="Calibri" w:eastAsia="Calibri" w:hAnsi="Calibri"/>
          <w:b/>
          <w:bCs/>
          <w:color w:val="065F46"/>
          <w:sz w:val="40"/>
          <w:szCs w:val="40"/>
        </w:rPr>
        <w:t xml:space="preserve">Keterangan Penerbitan</w:t>
      </w:r>
    </w:p>
    <w:p>
      <w:pPr>
        <w:spacing w:after="200" w:line="300"/>
        <w:jc w:val="both"/>
      </w:pPr>
      <w:r>
        <w:rPr>
          <w:rFonts w:ascii="Calibri" w:cs="Calibri" w:eastAsia="Calibri" w:hAnsi="Calibri"/>
          <w:color w:val="1E293B"/>
          <w:sz w:val="22"/>
          <w:szCs w:val="22"/>
        </w:rPr>
        <w:t xml:space="preserve">Akuntansi dan Pelaporan Wakaf: Penerapan PSAK 412 (Dahulu PSAK 112): Akuntansi Wakaf bagi Nazhir dan Wakif</w:t>
      </w:r>
    </w:p>
    <w:p>
      <w:pPr>
        <w:spacing w:after="200" w:line="300"/>
        <w:jc w:val="both"/>
      </w:pPr>
      <w:r>
        <w:rPr>
          <w:rFonts w:ascii="Calibri" w:cs="Calibri" w:eastAsia="Calibri" w:hAnsi="Calibri"/>
          <w:color w:val="1E293B"/>
          <w:sz w:val="22"/>
          <w:szCs w:val="22"/>
        </w:rPr>
        <w:t xml:space="preserve">Seri: SERI LITERASI WAKAF — NAZHIRLY</w:t>
      </w:r>
    </w:p>
    <w:p>
      <w:pPr>
        <w:spacing w:after="200" w:line="300"/>
        <w:jc w:val="both"/>
      </w:pPr>
      <w:r>
        <w:rPr>
          <w:rFonts w:ascii="Calibri" w:cs="Calibri" w:eastAsia="Calibri" w:hAnsi="Calibri"/>
          <w:color w:val="1E293B"/>
          <w:sz w:val="22"/>
          <w:szCs w:val="22"/>
        </w:rPr>
        <w:t xml:space="preserve">Diterbitkan oleh: BPRS Baktimakmur Indah</w:t>
      </w:r>
    </w:p>
    <w:p>
      <w:pPr>
        <w:spacing w:after="200" w:line="300"/>
        <w:jc w:val="both"/>
      </w:pPr>
      <w:r>
        <w:rPr>
          <w:rFonts w:ascii="Calibri" w:cs="Calibri" w:eastAsia="Calibri" w:hAnsi="Calibri"/>
          <w:color w:val="1E293B"/>
          <w:sz w:val="22"/>
          <w:szCs w:val="22"/>
        </w:rPr>
        <w:t xml:space="preserve">Tahun terbit: 2026</w:t>
      </w:r>
    </w:p>
    <w:p>
      <w:pPr>
        <w:spacing w:after="200" w:line="300"/>
        <w:jc w:val="both"/>
      </w:pPr>
      <w:r>
        <w:rPr>
          <w:rFonts w:ascii="Calibri" w:cs="Calibri" w:eastAsia="Calibri" w:hAnsi="Calibri"/>
          <w:color w:val="1E293B"/>
          <w:sz w:val="22"/>
          <w:szCs w:val="22"/>
        </w:rPr>
        <w:t xml:space="preserve">Hak cipta dilindungi undang-undang. Dilarang memperbanyak sebagian atau seluruh isi buku ini tanpa izin tertulis dari penerbit, kecuali untuk kepentingan kutipan dengan atribusi yang jelas sesuai kaidah akademik.</w:t>
      </w:r>
    </w:p>
    <w:p>
      <w:pPr>
        <w:pStyle w:val="Heading1"/>
        <w:pageBreakBefore/>
        <w:spacing w:after="400" w:before="200"/>
      </w:pPr>
      <w:r>
        <w:rPr>
          <w:rFonts w:ascii="Calibri" w:cs="Calibri" w:eastAsia="Calibri" w:hAnsi="Calibri"/>
          <w:b/>
          <w:bCs/>
          <w:color w:val="065F46"/>
          <w:sz w:val="40"/>
          <w:szCs w:val="40"/>
        </w:rPr>
        <w:t xml:space="preserve">Kata Pengantar</w:t>
      </w:r>
    </w:p>
    <w:p>
      <w:pPr>
        <w:spacing w:after="200" w:line="300"/>
        <w:jc w:val="both"/>
      </w:pPr>
      <w:r>
        <w:rPr>
          <w:rFonts w:ascii="Calibri" w:cs="Calibri" w:eastAsia="Calibri" w:hAnsi="Calibri"/>
          <w:color w:val="1E293B"/>
          <w:sz w:val="22"/>
          <w:szCs w:val="22"/>
        </w:rPr>
        <w:t xml:space="preserve">Buku ini disusun sebagai panduan praktis bagi staf akuntansi dan keuangan nazhir berbadan hukum, Lembaga Keuangan Syariah Penerima Wakaf Uang (LKS-PWU), serta auditor internal yang bertugas memastikan laporan keuangan entitas wakaf disusun sesuai standar yang berlaku. Sejak disahkannya PSAK 412: Akuntansi Wakaf oleh Dewan Standar Akuntansi Syariah–Ikatan Akuntan Indonesia (DSAS-IAI), pengelola wakaf berbadan hukum memiliki acuan akuntansi tersendiri yang sebelumnya tidak dimiliki, sehingga transaksi wakaf tidak lagi harus dipaksakan mengikuti standar organisasi nirlaba umum atau standar zakat yang secara konsep berbeda.</w:t>
      </w:r>
    </w:p>
    <w:p>
      <w:pPr>
        <w:spacing w:after="200" w:line="300"/>
        <w:jc w:val="both"/>
      </w:pPr>
      <w:r>
        <w:rPr>
          <w:rFonts w:ascii="Calibri" w:cs="Calibri" w:eastAsia="Calibri" w:hAnsi="Calibri"/>
          <w:color w:val="1E293B"/>
          <w:sz w:val="22"/>
          <w:szCs w:val="22"/>
        </w:rPr>
        <w:t xml:space="preserve">Materi disampaikan secara teknis-praktis: setiap konsep pengakuan dan pengukuran disertai ilustrasi jurnal serta format laporan keuangan sederhana, dengan penekanan bahwa seluruh angka dalam contoh bersifat hipotetis dan disusun semata untuk keperluan peragaan. Pembaca yang memerlukan kepastian hukum atau interpretasi atas kasus tertentu tetap disarankan merujuk pada naskah resmi PSAK 412 yang diterbitkan Ikatan Akuntan Indonesia serta berkonsultasi dengan Dewan Pengawas Syariah dan auditor independen.</w:t>
      </w:r>
    </w:p>
    <w:p>
      <w:pPr>
        <w:spacing w:after="200" w:line="300"/>
        <w:jc w:val="both"/>
      </w:pPr>
      <w:r>
        <w:rPr>
          <w:rFonts w:ascii="Calibri" w:cs="Calibri" w:eastAsia="Calibri" w:hAnsi="Calibri"/>
          <w:color w:val="1E293B"/>
          <w:sz w:val="22"/>
          <w:szCs w:val="22"/>
        </w:rPr>
        <w:t xml:space="preserve">Semoga buku ini membantu nazhir dan wakif berbadan hukum menyusun laporan keuangan wakaf yang akuntabel, transparan, dan dapat dipertanggungjawabkan kepada wakif, penerima manfaat, regulator, serta masyarakat luas.</w:t>
      </w:r>
    </w:p>
    <w:p>
      <w:pPr>
        <w:pStyle w:val="Heading1"/>
        <w:pageBreakBefore/>
        <w:spacing w:after="400" w:before="200"/>
      </w:pPr>
      <w:r>
        <w:rPr>
          <w:rFonts w:ascii="Calibri" w:cs="Calibri" w:eastAsia="Calibri" w:hAnsi="Calibri"/>
          <w:b/>
          <w:bCs/>
          <w:color w:val="065F46"/>
          <w:sz w:val="40"/>
          <w:szCs w:val="40"/>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pageBreakBefore/>
        <w:spacing w:after="80"/>
      </w:pPr>
      <w:r>
        <w:rPr>
          <w:rFonts w:ascii="Calibri" w:cs="Calibri" w:eastAsia="Calibri" w:hAnsi="Calibri"/>
          <w:b/>
          <w:bCs/>
          <w:caps/>
          <w:color w:val="64748B"/>
          <w:sz w:val="22"/>
          <w:szCs w:val="22"/>
        </w:rPr>
        <w:t xml:space="preserve">BAB 1</w:t>
      </w:r>
    </w:p>
    <w:p>
      <w:pPr>
        <w:pStyle w:val="Heading1"/>
        <w:spacing w:after="400" w:before="200"/>
      </w:pPr>
      <w:r>
        <w:rPr>
          <w:rFonts w:ascii="Calibri" w:cs="Calibri" w:eastAsia="Calibri" w:hAnsi="Calibri"/>
          <w:b/>
          <w:bCs/>
          <w:color w:val="065F46"/>
          <w:sz w:val="40"/>
          <w:szCs w:val="40"/>
        </w:rPr>
        <w:t xml:space="preserve">Mengapa Wakaf Memerlukan Standar Akuntansi Tersendiri</w:t>
      </w:r>
    </w:p>
    <w:p>
      <w:pPr>
        <w:spacing w:after="200" w:line="300"/>
        <w:jc w:val="both"/>
      </w:pPr>
      <w:r>
        <w:rPr>
          <w:rFonts w:ascii="Calibri" w:cs="Calibri" w:eastAsia="Calibri" w:hAnsi="Calibri"/>
          <w:color w:val="1E293B"/>
          <w:sz w:val="22"/>
          <w:szCs w:val="22"/>
        </w:rPr>
        <w:t xml:space="preserve">Wakaf memiliki karakteristik hukum dan ekonomi yang berbeda dari transaksi bisnis maupun donasi sosial pada umumnya, sehingga perlakuan akuntansinya tidak dapat begitu saja disamakan dengan standar yang telah ada. Bab ini menjelaskan mengapa kekhususan tersebut menuntut lahirnya standar akuntansi tersendiri bagi wakaf.</w:t>
      </w:r>
    </w:p>
    <w:p>
      <w:pPr>
        <w:pStyle w:val="Heading3"/>
        <w:spacing w:after="120" w:before="240"/>
      </w:pPr>
      <w:r>
        <w:rPr>
          <w:rFonts w:ascii="Calibri" w:cs="Calibri" w:eastAsia="Calibri" w:hAnsi="Calibri"/>
          <w:b/>
          <w:bCs/>
          <w:color w:val="065F46"/>
          <w:sz w:val="24"/>
          <w:szCs w:val="24"/>
        </w:rPr>
        <w:t xml:space="preserve">Karakteristik Unik Aset Wakaf</w:t>
      </w:r>
    </w:p>
    <w:p>
      <w:pPr>
        <w:spacing w:after="200" w:line="300"/>
        <w:jc w:val="both"/>
      </w:pPr>
      <w:r>
        <w:rPr>
          <w:rFonts w:ascii="Calibri" w:cs="Calibri" w:eastAsia="Calibri" w:hAnsi="Calibri"/>
          <w:color w:val="1E293B"/>
          <w:sz w:val="22"/>
          <w:szCs w:val="22"/>
        </w:rPr>
        <w:t xml:space="preserve">Berdasarkan Undang-Undang Nomor 41 Tahun 2004 tentang Wakaf, wakaf didefinisikan sebagai perbuatan hukum wakif untuk memisahkan dan/atau menyerahkan sebagian harta benda miliknya untuk dimanfaatkan selamanya atau untuk jangka waktu tertentu sesuai dengan kepentingannya guna keperluan ibadah dan/atau kesejahteraan umum menurut syariah. Definisi ini mengandung dua unsur yang membedakan wakaf dari donasi maupun aset entitas biasa: pertama, adanya pemisahan harta secara hukum dari kepemilikan pribadi wakif; kedua, peruntukan harta tersebut yang terikat pada tujuan ibadah dan kesejahteraan umum, bukan pada kebijakan pengelola.</w:t>
      </w:r>
    </w:p>
    <w:p>
      <w:pPr>
        <w:spacing w:after="200" w:line="300"/>
        <w:jc w:val="both"/>
      </w:pPr>
      <w:r>
        <w:rPr>
          <w:rFonts w:ascii="Calibri" w:cs="Calibri" w:eastAsia="Calibri" w:hAnsi="Calibri"/>
          <w:color w:val="1E293B"/>
          <w:sz w:val="22"/>
          <w:szCs w:val="22"/>
        </w:rPr>
        <w:t xml:space="preserve">Konsekuensinya, aset wakaf pada dasarnya bukan milik nazhir selaku pengelola, melainkan harta yang dipisahkan dan dipercayakan pengelolaannya kepada nazhir. Prinsip ini membuat aset wakaf tidak dapat diperlakukan sebagai aset milik entitas nazhir dalam laporan keuangannya sendiri, sebagaimana akan dibahas lebih lanjut pada Bab 3 mengenai entitas pelaporan wakaf.</w:t>
      </w:r>
    </w:p>
    <w:p>
      <w:pPr>
        <w:pStyle w:val="Heading3"/>
        <w:spacing w:after="120" w:before="240"/>
      </w:pPr>
      <w:r>
        <w:rPr>
          <w:rFonts w:ascii="Calibri" w:cs="Calibri" w:eastAsia="Calibri" w:hAnsi="Calibri"/>
          <w:b/>
          <w:bCs/>
          <w:color w:val="065F46"/>
          <w:sz w:val="24"/>
          <w:szCs w:val="24"/>
        </w:rPr>
        <w:t xml:space="preserve">Keterbatasan Standar Akuntansi yang Sudah Ada</w:t>
      </w:r>
    </w:p>
    <w:p>
      <w:pPr>
        <w:spacing w:after="200" w:line="300"/>
        <w:jc w:val="both"/>
      </w:pPr>
      <w:r>
        <w:rPr>
          <w:rFonts w:ascii="Calibri" w:cs="Calibri" w:eastAsia="Calibri" w:hAnsi="Calibri"/>
          <w:color w:val="1E293B"/>
          <w:sz w:val="22"/>
          <w:szCs w:val="22"/>
        </w:rPr>
        <w:t xml:space="preserve">Sebelum lahirnya standar khusus, entitas pengelola wakaf umumnya merujuk pada PSAK 45 tentang Pelaporan Keuangan Organisasi Nirlaba, PSAK 101 tentang Penyajian Laporan Keuangan Syariah, atau bahkan menyamakan perlakuannya dengan PSAK 109 tentang Akuntansi Zakat, Infak, dan Sedekah. Ketiganya memberikan kerangka umum yang berguna, namun tidak satu pun secara spesifik mengatur ciri wakaf yang membedakannya dari zakat maupun dana sosial lain, misalnya sifat harta yang pada dasarnya kekal (abadi) untuk wakaf permanen, larangan menjual atau mengalihkan aset wakaf kecuali dalam kondisi tertentu yang diatur ketat oleh peraturan perundang-undangan, perlakuan wakaf temporer sebagai liabilitas, serta kebutuhan untuk melaporkan rincian aset wakaf menurut sumber perolehannya (wakif dibandingkan hasil pengelolaan dan pengembangan).</w:t>
      </w:r>
    </w:p>
    <w:p>
      <w:pPr>
        <w:spacing w:after="200" w:line="300"/>
        <w:jc w:val="both"/>
      </w:pPr>
      <w:r>
        <w:rPr>
          <w:rFonts w:ascii="Calibri" w:cs="Calibri" w:eastAsia="Calibri" w:hAnsi="Calibri"/>
          <w:color w:val="1E293B"/>
          <w:sz w:val="22"/>
          <w:szCs w:val="22"/>
        </w:rPr>
        <w:t xml:space="preserve">PSAK 109 misalnya dirancang untuk mengatur dana zakat, infak, dan sedekah yang bersifat habis pakai atau disalurkan sesuai peruntukannya dalam periode berjalan, berbeda dengan wakaf yang pokok hartanya justru wajib dijaga kelestariannya sementara hanya hasil pengelolaannya yang disalurkan. Perbedaan filosofis ini membuat penerapan PSAK 109 pada transaksi wakaf berisiko menyesatkan penyajian informasi keuangan.</w:t>
      </w:r>
    </w:p>
    <w:p>
      <w:pPr>
        <w:pStyle w:val="Heading3"/>
        <w:spacing w:after="120" w:before="240"/>
      </w:pPr>
      <w:r>
        <w:rPr>
          <w:rFonts w:ascii="Calibri" w:cs="Calibri" w:eastAsia="Calibri" w:hAnsi="Calibri"/>
          <w:b/>
          <w:bCs/>
          <w:color w:val="065F46"/>
          <w:sz w:val="24"/>
          <w:szCs w:val="24"/>
        </w:rPr>
        <w:t xml:space="preserve">Kebutuhan Akuntabilitas kepada Wakif, Regulator, dan Publik</w:t>
      </w:r>
    </w:p>
    <w:p>
      <w:pPr>
        <w:spacing w:after="200" w:line="300"/>
        <w:jc w:val="both"/>
      </w:pPr>
      <w:r>
        <w:rPr>
          <w:rFonts w:ascii="Calibri" w:cs="Calibri" w:eastAsia="Calibri" w:hAnsi="Calibri"/>
          <w:color w:val="1E293B"/>
          <w:sz w:val="22"/>
          <w:szCs w:val="22"/>
        </w:rPr>
        <w:t xml:space="preserve">Pertumbuhan wakaf uang dan wakaf produktif di Indonesia, yang difasilitasi antara lain oleh Lembaga Keuangan Syariah Penerima Wakaf Uang (LKS-PWU) dan diawasi oleh Badan Wakaf Indonesia (BWI), meningkatkan tuntutan akuntabilitas nazhir berbadan hukum. Wakif berhak mengetahui bagaimana harta yang diwakafkannya dikelola dan dimanfaatkan, sementara regulator memerlukan laporan keuangan yang dapat diperbandingkan antarentitas untuk keperluan pengawasan. Tanpa standar akuntansi yang seragam, laporan wakaf antarnazhir dapat disusun dengan format dan dasar pengakuan yang berbeda-beda, sehingga sulit dibandingkan dan rawan menimbulkan ketidakpercayaan publik.</w:t>
      </w:r>
    </w:p>
    <w:p>
      <w:pPr>
        <w:pStyle w:val="Heading3"/>
        <w:spacing w:after="120" w:before="240"/>
      </w:pPr>
      <w:r>
        <w:rPr>
          <w:rFonts w:ascii="Calibri" w:cs="Calibri" w:eastAsia="Calibri" w:hAnsi="Calibri"/>
          <w:b/>
          <w:bCs/>
          <w:color w:val="065F46"/>
          <w:sz w:val="24"/>
          <w:szCs w:val="24"/>
        </w:rPr>
        <w:t xml:space="preserve">Perkembangan Wakaf Produktif dan Wakaf Uang di Indonesia</w:t>
      </w:r>
    </w:p>
    <w:p>
      <w:pPr>
        <w:spacing w:after="200" w:line="300"/>
        <w:jc w:val="both"/>
      </w:pPr>
      <w:r>
        <w:rPr>
          <w:rFonts w:ascii="Calibri" w:cs="Calibri" w:eastAsia="Calibri" w:hAnsi="Calibri"/>
          <w:color w:val="1E293B"/>
          <w:sz w:val="22"/>
          <w:szCs w:val="22"/>
        </w:rPr>
        <w:t xml:space="preserve">Wakaf di Indonesia pada mulanya lebih banyak berupa wakaf benda tidak bergerak, khususnya tanah untuk masjid, madrasah, dan makam, yang pemanfaatannya bersifat langsung dan tidak menghasilkan arus kas untuk dikelola lebih lanjut. Seiring waktu, konsep wakaf produktif berkembang: aset wakaf, termasuk wakaf uang yang dimungkinkan melalui Fatwa Majelis Ulama Indonesia/Dewan Syariah Nasional-MUI Nomor 2 Tahun 2002 tentang Wakaf Uang, dikelola untuk menghasilkan manfaat ekonomis yang berkelanjutan, misalnya melalui investasi pada instrumen syariah, penyewaan properti, atau pembiayaan usaha produktif yang hasilnya disalurkan kepada mauquf ‘alaih.</w:t>
      </w:r>
    </w:p>
    <w:p>
      <w:pPr>
        <w:spacing w:after="200" w:line="300"/>
        <w:jc w:val="both"/>
      </w:pPr>
      <w:r>
        <w:rPr>
          <w:rFonts w:ascii="Calibri" w:cs="Calibri" w:eastAsia="Calibri" w:hAnsi="Calibri"/>
          <w:color w:val="1E293B"/>
          <w:sz w:val="22"/>
          <w:szCs w:val="22"/>
        </w:rPr>
        <w:t xml:space="preserve">Pergeseran dari wakaf konsumtif menuju wakaf produktif ini membawa konsekuensi akuntansi yang signifikan: nazhir tidak lagi sekadar menjaga aset tetap, melainkan mengelola arus kas masuk dan keluar dari aktivitas investasi dan pembiayaan, sehingga kebutuhan akan laporan aktivitas dan laporan arus kas yang tertib menjadi semakin mendesak.</w:t>
      </w:r>
    </w:p>
    <w:p>
      <w:pPr>
        <w:pStyle w:val="Heading3"/>
        <w:spacing w:after="120" w:before="240"/>
      </w:pPr>
      <w:r>
        <w:rPr>
          <w:rFonts w:ascii="Calibri" w:cs="Calibri" w:eastAsia="Calibri" w:hAnsi="Calibri"/>
          <w:b/>
          <w:bCs/>
          <w:color w:val="065F46"/>
          <w:sz w:val="24"/>
          <w:szCs w:val="24"/>
        </w:rPr>
        <w:t xml:space="preserve">Peran BWI dan LKS-PWU dalam Mendorong Tertib Akuntansi</w:t>
      </w:r>
    </w:p>
    <w:p>
      <w:pPr>
        <w:spacing w:after="200" w:line="300"/>
        <w:jc w:val="both"/>
      </w:pPr>
      <w:r>
        <w:rPr>
          <w:rFonts w:ascii="Calibri" w:cs="Calibri" w:eastAsia="Calibri" w:hAnsi="Calibri"/>
          <w:color w:val="1E293B"/>
          <w:sz w:val="22"/>
          <w:szCs w:val="22"/>
        </w:rPr>
        <w:t xml:space="preserve">Badan Wakaf Indonesia, sebagai lembaga negara yang bertugas mengembangkan perwakafan nasional sesuai amanat Undang-Undang Nomor 41 Tahun 2004, secara berkelanjutan mendorong nazhir untuk menyelenggarakan pembukuan yang tertib sebagai syarat pembinaan dan pengawasan. Demikian pula LKS-PWU, sebagai lembaga keuangan syariah yang ditunjuk menerima wakaf uang, berkepentingan atas tertib administrasi karena turut bertanggung jawab menyalurkan wakaf uang kepada nazhir yang dituju wakif. Ketersediaan standar akuntansi khusus seperti PSAK 412 memberi acuan yang sama bagi seluruh pihak dalam ekosistem perwakafan tersebut, termasuk BPRS yang berperan sebagai LKS-PWU di berbagai daerah.</w:t>
      </w:r>
    </w:p>
    <w:p>
      <w:pPr>
        <w:pStyle w:val="Heading3"/>
        <w:spacing w:after="120" w:before="240"/>
      </w:pPr>
      <w:r>
        <w:rPr>
          <w:rFonts w:ascii="Calibri" w:cs="Calibri" w:eastAsia="Calibri" w:hAnsi="Calibri"/>
          <w:b/>
          <w:bCs/>
          <w:color w:val="065F46"/>
          <w:sz w:val="24"/>
          <w:szCs w:val="24"/>
        </w:rPr>
        <w:t xml:space="preserve">Instrumen Wakaf Produktif Modern: Cash Waqf Linked Sukuk (CWLS)</w:t>
      </w:r>
    </w:p>
    <w:p>
      <w:pPr>
        <w:spacing w:after="200" w:line="300"/>
        <w:jc w:val="both"/>
      </w:pPr>
      <w:r>
        <w:rPr>
          <w:rFonts w:ascii="Calibri" w:cs="Calibri" w:eastAsia="Calibri" w:hAnsi="Calibri"/>
          <w:color w:val="1E293B"/>
          <w:sz w:val="22"/>
          <w:szCs w:val="22"/>
        </w:rPr>
        <w:t xml:space="preserve">Salah satu wujud konkret perkembangan wakaf produktif di Indonesia adalah Cash Waqf Linked Sukuk (CWLS), instrumen yang mengintegrasikan wakaf uang dengan Surat Berharga Syariah Negara (SBSN). Dalam skema ini, dana wakaf uang yang dihimpun oleh Badan Wakaf Indonesia selaku nazhir melalui LKS-PWU ditempatkan pada instrumen SBSN yang diterbitkan Kementerian Keuangan, umumnya dengan tenor sekitar lima tahun untuk wakaf temporer, sementara imbal hasil yang diperoleh secara berkala disalurkan untuk membiayai program sosial seperti fasilitas kesehatan, pendidikan, dan pembangunan pesantren, dengan pokok dana yang dijamin utuh oleh negara pada saat jatuh tempo untuk skema wakaf temporer.</w:t>
      </w:r>
    </w:p>
    <w:p>
      <w:pPr>
        <w:spacing w:after="200" w:line="300"/>
        <w:jc w:val="both"/>
      </w:pPr>
      <w:r>
        <w:rPr>
          <w:rFonts w:ascii="Calibri" w:cs="Calibri" w:eastAsia="Calibri" w:hAnsi="Calibri"/>
          <w:color w:val="1E293B"/>
          <w:sz w:val="22"/>
          <w:szCs w:val="22"/>
        </w:rPr>
        <w:t xml:space="preserve">Bagi nazhir badan hukum, termasuk BPRS yang berperan sebagai LKS-PWU, memahami mekanisme instrumen seperti CWLS penting karena mencerminkan salah satu bentuk pengelolaan wakaf uang yang lebih kompleks dibandingkan penempatan pada deposito syariah sederhana. Perlakuan akuntansi atas penempatan dana wakaf pada instrumen semacam ini tetap mengikuti prinsip umum PSAK 412: dana yang ditempatkan diakui sebagai aset wakaf (investasi wakaf) sebesar nilai wajar, sementara imbal hasil yang diterima diakui sebagai penambah aset neto wakaf pada saat perolehan, sebagaimana dibahas lebih rinci pada Bab 4 dan diilustrasikan pada Bab 7.</w:t>
      </w:r>
    </w:p>
    <w:p>
      <w:pPr>
        <w:spacing w:after="100" w:before="1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PENTING — Definisi Wakaf</w:t>
            </w:r>
          </w:p>
          <w:p>
            <w:pPr>
              <w:spacing w:after="0" w:line="280"/>
              <w:jc w:val="both"/>
            </w:pPr>
            <w:r>
              <w:rPr>
                <w:rFonts w:ascii="Calibri" w:cs="Calibri" w:eastAsia="Calibri" w:hAnsi="Calibri"/>
                <w:color w:val="1E293B"/>
                <w:sz w:val="21"/>
                <w:szCs w:val="21"/>
              </w:rPr>
              <w:t xml:space="preserve">Pasal 1 angka 1 Undang-Undang Nomor 41 Tahun 2004 tentang Wakaf: "Wakaf adalah perbuatan hukum wakif untuk memisahkan dan/atau menyerahkan sebagian harta benda miliknya untuk dimanfaatkan selamanya atau untuk jangka waktu tertentu sesuai dengan kepentingannya guna keperluan ibadah dan/atau kesejahteraan umum menurut syariah."</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Aset wakaf secara hukum terpisah dari kekayaan pribadi wakif maupun kekayaan entitas nazhir.</w:t>
            </w:r>
          </w:p>
          <w:p>
            <w:pPr>
              <w:pStyle w:val="ListParagraph"/>
              <w:numPr>
                <w:ilvl w:val="0"/>
                <w:numId w:val="1"/>
              </w:numPr>
              <w:spacing w:after="80"/>
            </w:pPr>
            <w:r>
              <w:rPr>
                <w:rFonts w:ascii="Calibri" w:cs="Calibri" w:eastAsia="Calibri" w:hAnsi="Calibri"/>
                <w:color w:val="1E293B"/>
                <w:sz w:val="21"/>
                <w:szCs w:val="21"/>
              </w:rPr>
              <w:t xml:space="preserve">Standar akuntansi umum (PSAK 45, 101) dan standar zakat (PSAK 109) tidak mengakomodasi ciri khas wakaf, terutama prinsip kelestarian pokok harta.</w:t>
            </w:r>
          </w:p>
          <w:p>
            <w:pPr>
              <w:pStyle w:val="ListParagraph"/>
              <w:numPr>
                <w:ilvl w:val="0"/>
                <w:numId w:val="1"/>
              </w:numPr>
              <w:spacing w:after="80"/>
            </w:pPr>
            <w:r>
              <w:rPr>
                <w:rFonts w:ascii="Calibri" w:cs="Calibri" w:eastAsia="Calibri" w:hAnsi="Calibri"/>
                <w:color w:val="1E293B"/>
                <w:sz w:val="21"/>
                <w:szCs w:val="21"/>
              </w:rPr>
              <w:t xml:space="preserve">Standar tersendiri diperlukan untuk menjamin akuntabilitas kepada wakif, BWI, OJK, dan publik secara konsisten antarnazhir.</w:t>
            </w:r>
          </w:p>
        </w:tc>
      </w:tr>
    </w:tbl>
    <w:p>
      <w:pPr>
        <w:pageBreakBefore/>
        <w:spacing w:after="80"/>
      </w:pPr>
      <w:r>
        <w:rPr>
          <w:rFonts w:ascii="Calibri" w:cs="Calibri" w:eastAsia="Calibri" w:hAnsi="Calibri"/>
          <w:b/>
          <w:bCs/>
          <w:caps/>
          <w:color w:val="64748B"/>
          <w:sz w:val="22"/>
          <w:szCs w:val="22"/>
        </w:rPr>
        <w:t xml:space="preserve">BAB 2</w:t>
      </w:r>
    </w:p>
    <w:p>
      <w:pPr>
        <w:pStyle w:val="Heading1"/>
        <w:spacing w:after="400" w:before="200"/>
      </w:pPr>
      <w:r>
        <w:rPr>
          <w:rFonts w:ascii="Calibri" w:cs="Calibri" w:eastAsia="Calibri" w:hAnsi="Calibri"/>
          <w:b/>
          <w:bCs/>
          <w:color w:val="065F46"/>
          <w:sz w:val="40"/>
          <w:szCs w:val="40"/>
        </w:rPr>
        <w:t xml:space="preserve">Sejarah Pengesahan dan Ruang Lingkup PSAK 412: Akuntansi Wakaf</w:t>
      </w:r>
    </w:p>
    <w:p>
      <w:pPr>
        <w:spacing w:after="200" w:line="300"/>
        <w:jc w:val="both"/>
      </w:pPr>
      <w:r>
        <w:rPr>
          <w:rFonts w:ascii="Calibri" w:cs="Calibri" w:eastAsia="Calibri" w:hAnsi="Calibri"/>
          <w:color w:val="1E293B"/>
          <w:sz w:val="22"/>
          <w:szCs w:val="22"/>
        </w:rPr>
        <w:t xml:space="preserve">Memahami proses pengesahan dan batas ruang lingkup PSAK 412 penting agar penerapannya tidak melampaui atau justru kurang dari apa yang sesungguhnya diatur oleh standar ini.</w:t>
      </w:r>
    </w:p>
    <w:p>
      <w:pPr>
        <w:pStyle w:val="Heading3"/>
        <w:spacing w:after="120" w:before="240"/>
      </w:pPr>
      <w:r>
        <w:rPr>
          <w:rFonts w:ascii="Calibri" w:cs="Calibri" w:eastAsia="Calibri" w:hAnsi="Calibri"/>
          <w:b/>
          <w:bCs/>
          <w:color w:val="065F46"/>
          <w:sz w:val="24"/>
          <w:szCs w:val="24"/>
        </w:rPr>
        <w:t xml:space="preserve">Proses Pengesahan</w:t>
      </w:r>
    </w:p>
    <w:p>
      <w:pPr>
        <w:spacing w:after="200" w:line="300"/>
        <w:jc w:val="both"/>
      </w:pPr>
      <w:r>
        <w:rPr>
          <w:rFonts w:ascii="Calibri" w:cs="Calibri" w:eastAsia="Calibri" w:hAnsi="Calibri"/>
          <w:color w:val="1E293B"/>
          <w:sz w:val="22"/>
          <w:szCs w:val="22"/>
        </w:rPr>
        <w:t xml:space="preserve">Dewan Standar Akuntansi Syariah Ikatan Akuntan Indonesia (DSAS-IAI) mengesahkan Eksposur Draf (Draf Eksposur) PSAK 112: Akuntansi Wakaf pada 22 Mei 2018 sebagai bagian dari proses due process penyusunan standar akuntansi yang melibatkan tahap konsultasi publik. Setelah melalui proses tersebut, DSAS-IAI mengesahkan PSAK 112: Akuntansi Wakaf secara final pada 7 November 2018, dengan nomor PSAK 112 sebagaimana berlaku pada saat itu.</w:t>
      </w:r>
    </w:p>
    <w:p>
      <w:pPr>
        <w:spacing w:after="200" w:line="300"/>
        <w:jc w:val="both"/>
      </w:pPr>
      <w:r>
        <w:rPr>
          <w:rFonts w:ascii="Calibri" w:cs="Calibri" w:eastAsia="Calibri" w:hAnsi="Calibri"/>
          <w:color w:val="1E293B"/>
          <w:sz w:val="22"/>
          <w:szCs w:val="22"/>
        </w:rPr>
        <w:t xml:space="preserve">PSAK 112 berlaku efektif sejak 1 Januari 2021, dengan opsi penerapan dini (early application) diperkenankan sebelum tanggal efektif tersebut. Sejak tanggal efektif berlaku, seluruh entitas yang termasuk dalam ruang lingkup standar ini wajib menerapkannya dalam penyusunan laporan keuangan entitas wakaf.</w:t>
      </w:r>
    </w:p>
    <w:p>
      <w:pPr>
        <w:pStyle w:val="Heading3"/>
        <w:spacing w:after="120" w:before="240"/>
      </w:pPr>
      <w:r>
        <w:rPr>
          <w:rFonts w:ascii="Calibri" w:cs="Calibri" w:eastAsia="Calibri" w:hAnsi="Calibri"/>
          <w:b/>
          <w:bCs/>
          <w:color w:val="065F46"/>
          <w:sz w:val="24"/>
          <w:szCs w:val="24"/>
        </w:rPr>
        <w:t xml:space="preserve">Perubahan Penomoran Menjadi PSAK 412</w:t>
      </w:r>
    </w:p>
    <w:p>
      <w:pPr>
        <w:spacing w:after="200" w:line="300"/>
        <w:jc w:val="both"/>
      </w:pPr>
      <w:r>
        <w:rPr>
          <w:rFonts w:ascii="Calibri" w:cs="Calibri" w:eastAsia="Calibri" w:hAnsi="Calibri"/>
          <w:color w:val="1E293B"/>
          <w:sz w:val="22"/>
          <w:szCs w:val="22"/>
        </w:rPr>
        <w:t xml:space="preserve">Ikatan Akuntan Indonesia mengumumkan perubahan skema penomoran seluruh PSAK dan ISAK dalam SAK Indonesia melalui siaran pers 22 November 2023, berlaku efektif 1 Januari 2024. Skema baru ini membedakan PSAK/ISAK yang merujuk IFRS Accounting Standards (diawali angka 1xx/2xx) dari PSAK/ISAK yang tidak merujuk IFRS, dengan PSAK bernomor 3xx untuk standar lokal dan PSAK bernomor 4xx khusus untuk standar syariah. Perubahan ini bersifat administratif dan tidak mengubah substansi pengaturan pada masing-masing standar.</w:t>
      </w:r>
    </w:p>
    <w:p>
      <w:pPr>
        <w:spacing w:after="200" w:line="300"/>
        <w:jc w:val="both"/>
      </w:pPr>
      <w:r>
        <w:rPr>
          <w:rFonts w:ascii="Calibri" w:cs="Calibri" w:eastAsia="Calibri" w:hAnsi="Calibri"/>
          <w:color w:val="1E293B"/>
          <w:sz w:val="22"/>
          <w:szCs w:val="22"/>
        </w:rPr>
        <w:t xml:space="preserve">Dalam skema baru tersebut, PSAK 112: Akuntansi Wakaf berganti nomor menjadi PSAK 412: Akuntansi Wakaf, sejalan dengan standar syariah lain yang turut berpindah ke kelompok 4xx, misalnya PSAK 59 (Akuntansi Perbankan Syariah) yang menjadi PSAK 459. Publikasi ilmiah dan praktik industri sejak 2024 secara konsisten telah merujuk pada penomoran baru ini. Buku ini selanjutnya menggunakan penyebutan PSAK 412 sebagai rujukan utama, dengan penyebutan nomor lama (PSAK 112) hanya pada konteks historis pengesahan standar sebelum tahun 2024.</w:t>
      </w:r>
    </w:p>
    <w:p>
      <w:pPr>
        <w:pStyle w:val="Heading3"/>
        <w:spacing w:after="120" w:before="240"/>
      </w:pPr>
      <w:r>
        <w:rPr>
          <w:rFonts w:ascii="Calibri" w:cs="Calibri" w:eastAsia="Calibri" w:hAnsi="Calibri"/>
          <w:b/>
          <w:bCs/>
          <w:color w:val="065F46"/>
          <w:sz w:val="24"/>
          <w:szCs w:val="24"/>
        </w:rPr>
        <w:t xml:space="preserve">Ruang Lingkup Penerapan</w:t>
      </w:r>
    </w:p>
    <w:p>
      <w:pPr>
        <w:spacing w:after="200" w:line="300"/>
        <w:jc w:val="both"/>
      </w:pPr>
      <w:r>
        <w:rPr>
          <w:rFonts w:ascii="Calibri" w:cs="Calibri" w:eastAsia="Calibri" w:hAnsi="Calibri"/>
          <w:color w:val="1E293B"/>
          <w:sz w:val="22"/>
          <w:szCs w:val="22"/>
        </w:rPr>
        <w:t xml:space="preserve">PSAK 412 mengatur perlakuan akuntansi atas transaksi wakaf yang dilakukan oleh nazhir maupun wakif. Ruang lingkup PSAK 412 pada sisi nazhir mencakup nazhir perseorangan, organisasi, dan badan hukum — cakupan yang sama luasnya dengan ruang lingkup nazhir menurut Undang-Undang Nomor 41 Tahun 2004. Namun demikian, pada sisi wakif, PSAK 412 membatasi ruang lingkupnya hanya pada wakif berbentuk organisasi dan badan hukum; wakif perseorangan berada di luar ruang lingkup wajib PSAK 412, sekalipun tetap tunduk pada ketentuan Undang-Undang Nomor 41 Tahun 2004 dari sisi hukum perwakafan.</w:t>
      </w:r>
    </w:p>
    <w:p>
      <w:pPr>
        <w:spacing w:after="200" w:line="300"/>
        <w:jc w:val="both"/>
      </w:pPr>
      <w:r>
        <w:rPr>
          <w:rFonts w:ascii="Calibri" w:cs="Calibri" w:eastAsia="Calibri" w:hAnsi="Calibri"/>
          <w:color w:val="1E293B"/>
          <w:sz w:val="22"/>
          <w:szCs w:val="22"/>
        </w:rPr>
        <w:t xml:space="preserve">Cakupan aset yang diatur meliputi aset wakaf tidak bergerak (antara lain hak atas tanah, bangunan atau bagian bangunan di atas tanah, tanaman dan benda lain yang berkaitan dengan tanah, serta hak milik atas satuan rumah susun) dan aset wakaf bergerak (antara lain uang, logam mulia, surat berharga, kendaraan, hak kekayaan intelektual, dan hak sewa). Pengaturan mencakup pengakuan, pengukuran, penyajian, dan pengungkapan sejak aset wakaf diterima hingga dikelola, dikembangkan, dan disalurkan manfaatnya.</w:t>
      </w:r>
    </w:p>
    <w:p>
      <w:pPr>
        <w:pStyle w:val="Heading3"/>
        <w:spacing w:after="120" w:before="240"/>
      </w:pPr>
      <w:r>
        <w:rPr>
          <w:rFonts w:ascii="Calibri" w:cs="Calibri" w:eastAsia="Calibri" w:hAnsi="Calibri"/>
          <w:b/>
          <w:bCs/>
          <w:color w:val="065F46"/>
          <w:sz w:val="24"/>
          <w:szCs w:val="24"/>
        </w:rPr>
        <w:t xml:space="preserve">Posisi PSAK 412 dalam Kerangka SAK Syariah</w:t>
      </w:r>
    </w:p>
    <w:p>
      <w:pPr>
        <w:spacing w:after="200" w:line="300"/>
        <w:jc w:val="both"/>
      </w:pPr>
      <w:r>
        <w:rPr>
          <w:rFonts w:ascii="Calibri" w:cs="Calibri" w:eastAsia="Calibri" w:hAnsi="Calibri"/>
          <w:color w:val="1E293B"/>
          <w:sz w:val="22"/>
          <w:szCs w:val="22"/>
        </w:rPr>
        <w:t xml:space="preserve">PSAK 412 tidak berdiri sendiri, melainkan menjadi bagian dari kerangka Standar Akuntansi Keuangan Syariah (SAK Syariah) yang lebih luas. Entitas wakaf tetap perlu memperhatikan PSAK 101 tentang Penyajian Laporan Keuangan Syariah sebagai payung penyajian umum, sementara transaksi zakat, infak, dan sedekah yang mungkin dikelola bersamaan oleh nazhir tetap tunduk pada PSAK 109 (Akuntansi Zakat, Infak, dan Sedekah) dan dilaporkan terpisah dari laporan keuangan entitas wakaf. Percampuran ketiga standar ini dalam satu set laporan tanpa pemisahan yang jelas berpotensi menyesatkan pembaca laporan keuangan, sehingga pemisahan pencatatan sejak awal menjadi keharusan.</w:t>
      </w:r>
    </w:p>
    <w:p>
      <w:pPr>
        <w:spacing w:after="200" w:line="300"/>
        <w:jc w:val="both"/>
      </w:pPr>
      <w:r>
        <w:rPr>
          <w:rFonts w:ascii="Calibri" w:cs="Calibri" w:eastAsia="Calibri" w:hAnsi="Calibri"/>
          <w:color w:val="1E293B"/>
          <w:sz w:val="22"/>
          <w:szCs w:val="22"/>
        </w:rPr>
        <w:t xml:space="preserve">Materi sosialisasi resmi DSAS-IAI turut menegaskan bahwa entitas wakaf tergolong entitas dengan akuntabilitas publik signifikan — karena mengelola aset dalam kapasitas fidusia bagi kelompok pihak luar yang beragam (wakif dan mauquf 'alaih) — sehingga entitas wakaf mengacu pada Pilar 1 SAK, yaitu SAK umum (PSAK penuh), bukan SAK Entitas Privat (SAK EP), SAK ETAP, maupun SAK EMKM yang berlaku bagi entitas dengan akuntabilitas publik yang lebih terbatas.</w:t>
      </w:r>
    </w:p>
    <w:p>
      <w:pPr>
        <w:pStyle w:val="Heading3"/>
        <w:spacing w:after="120" w:before="240"/>
      </w:pPr>
      <w:r>
        <w:rPr>
          <w:rFonts w:ascii="Calibri" w:cs="Calibri" w:eastAsia="Calibri" w:hAnsi="Calibri"/>
          <w:b/>
          <w:bCs/>
          <w:color w:val="065F46"/>
          <w:sz w:val="24"/>
          <w:szCs w:val="24"/>
        </w:rPr>
        <w:t xml:space="preserve">Perbedaan PSAK 412 dengan Praktik Sebelum Standar Ini Berlaku</w:t>
      </w:r>
    </w:p>
    <w:p>
      <w:pPr>
        <w:spacing w:after="200" w:line="300"/>
        <w:jc w:val="both"/>
      </w:pPr>
      <w:r>
        <w:rPr>
          <w:rFonts w:ascii="Calibri" w:cs="Calibri" w:eastAsia="Calibri" w:hAnsi="Calibri"/>
          <w:color w:val="1E293B"/>
          <w:sz w:val="22"/>
          <w:szCs w:val="22"/>
        </w:rPr>
        <w:t xml:space="preserve">Sebelum PSAK 412 (saat itu masih bernomor PSAK 112) berlaku efektif, sebagian nazhir menyusun laporan keuangan wakaf dengan mengadaptasi format PSAK 45 tentang Pelaporan Keuangan Organisasi Nirlaba, karena kemiripan sifat wakaf dengan organisasi nirlaba pada umumnya. Pendekatan ini memiliki keterbatasan karena PSAK 45 tidak mengenal konsep laporan rincian aset wakaf maupun perlakuan wakaf temporer sebagai liabilitas sebagaimana dimaksud dalam PSAK 412. Nazhir yang beralih dari pendekatan lama ke PSAK 412 perlu melakukan pemetaan ulang akun-akun yang selama ini digunakan agar sesuai dengan struktur laporan yang diatur PSAK 412, sebagaimana akan dibahas lebih rinci pada Bab 6 dan Bab 8.</w:t>
      </w:r>
    </w:p>
    <w:p>
      <w:pPr>
        <w:pStyle w:val="Heading3"/>
        <w:spacing w:after="120" w:before="240"/>
      </w:pPr>
      <w:r>
        <w:rPr>
          <w:rFonts w:ascii="Calibri" w:cs="Calibri" w:eastAsia="Calibri" w:hAnsi="Calibri"/>
          <w:b/>
          <w:bCs/>
          <w:color w:val="065F46"/>
          <w:sz w:val="24"/>
          <w:szCs w:val="24"/>
        </w:rPr>
        <w:t xml:space="preserve">Cakupan Nazhir Perseorangan</w:t>
      </w:r>
    </w:p>
    <w:p>
      <w:pPr>
        <w:spacing w:after="200" w:line="300"/>
        <w:jc w:val="both"/>
      </w:pPr>
      <w:r>
        <w:rPr>
          <w:rFonts w:ascii="Calibri" w:cs="Calibri" w:eastAsia="Calibri" w:hAnsi="Calibri"/>
          <w:color w:val="1E293B"/>
          <w:sz w:val="22"/>
          <w:szCs w:val="22"/>
        </w:rPr>
        <w:t xml:space="preserve">Berbeda dari kekeliruan umum yang menganggap PSAK 412 hanya berlaku bagi nazhir berbadan hukum, ruang lingkup resmi standar ini justru mencakup seluruh bentuk nazhir — perseorangan, organisasi, maupun badan hukum. Nazhir perseorangan yang mengelola aset wakaf, betapa pun kecil skalanya, secara prinsip berada dalam ruang lingkup PSAK 412 dan diharapkan menyusun laporan keuangan entitas wakaf sesuai standar ini. Dalam praktiknya, tingkat kerincian penerapan dapat disesuaikan dengan skala dan kompleksitas pengelolaan wakaf, namun prinsip dasar pengakuan, pengukuran, dan pemisahan pelaporan entitas wakaf tetap berlaku bagi nazhir perseorangan sebagaimana berlaku bagi nazhir badan hukum.</w:t>
      </w:r>
    </w:p>
    <w:p>
      <w:pPr>
        <w:pStyle w:val="Heading3"/>
        <w:spacing w:after="120" w:before="240"/>
      </w:pPr>
      <w:r>
        <w:rPr>
          <w:rFonts w:ascii="Calibri" w:cs="Calibri" w:eastAsia="Calibri" w:hAnsi="Calibri"/>
          <w:b/>
          <w:bCs/>
          <w:color w:val="065F46"/>
          <w:sz w:val="24"/>
          <w:szCs w:val="24"/>
        </w:rPr>
        <w:t xml:space="preserve">Konsekuensi Non-Kepatuhan dan Pembinaan Badan Wakaf Indonesia</w:t>
      </w:r>
    </w:p>
    <w:p>
      <w:pPr>
        <w:spacing w:after="200" w:line="300"/>
        <w:jc w:val="both"/>
      </w:pPr>
      <w:r>
        <w:rPr>
          <w:rFonts w:ascii="Calibri" w:cs="Calibri" w:eastAsia="Calibri" w:hAnsi="Calibri"/>
          <w:color w:val="1E293B"/>
          <w:sz w:val="22"/>
          <w:szCs w:val="22"/>
        </w:rPr>
        <w:t xml:space="preserve">PSAK 412 sebagai standar akuntansi tidak memuat sanksi pidana atau administratif secara langsung, karena sifatnya adalah pedoman teknis penyusunan laporan keuangan, bukan produk hukum publik. Meskipun demikian, ketidakpatuhan nazhir terhadap PSAK 412 dapat berdampak pada proses pembinaan dan pengawasan yang dilakukan Badan Wakaf Indonesia, termasuk penilaian kelayakan nazhir untuk terus mengelola wakaf dalam skala tertentu. Bagi nazhir yang sekaligus merupakan lembaga jasa keuangan yang diawasi Otoritas Jasa Keuangan, seperti BPRS yang berperan sebagai LKS-PWU, ketertiban laporan keuangan wakaf turut menjadi bagian dari penilaian tata kelola secara lebih luas, sekalipun laporan keuangan wakaf itu sendiri berada di luar cakupan laporan keuangan perbankan yang diawasi langsung oleh OJK.</w:t>
      </w:r>
    </w:p>
    <w:p>
      <w:pPr>
        <w:spacing w:after="120" w:before="200"/>
      </w:pPr>
      <w:r>
        <w:rPr>
          <w:rFonts w:ascii="Calibri" w:cs="Calibri" w:eastAsia="Calibri" w:hAnsi="Calibri"/>
          <w:b/>
          <w:bCs/>
          <w:color w:val="065F46"/>
          <w:sz w:val="22"/>
          <w:szCs w:val="22"/>
        </w:rPr>
        <w:t xml:space="preserve">Lini Masa Pengesahan dan Penomoran PSAK 412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3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Aspek</w:t>
            </w:r>
          </w:p>
        </w:tc>
        <w:tc>
          <w:tcPr>
            <w:tcW w:type="pct" w:w="6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Keterangan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22 Mei 2018</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DSAS-IAI mengesahkan Draf Eksposur (DE) PSAK 112: Akuntansi Wakaf</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7 November 2018</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DSAS-IAI mengesahkan PSAK 112: Akuntansi Wakaf secara final</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 Januari 2021</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PSAK 112 berlaku efektif, dengan opsi penerapan dini sebelum tanggal ini</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1 Januari 2024</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Perubahan skema penomoran SAK Indonesia berlaku efektif; PSAK 112 berganti nomor menjadi PSAK 412 (substansi pengaturan tidak berubah)</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PSAK 412 (sebelumnya bernomor PSAK 112) disahkan final oleh DSAS-IAI pada 7 November 2018, setelah Draf Eksposur disahkan 22 Mei 2018, dan berlaku efektif 1 Januari 2021 dengan opsi penerapan dini; penomorannya berubah menjadi PSAK 412 sejak 1 Januari 2024 tanpa mengubah substansi pengaturan.</w:t>
            </w:r>
          </w:p>
          <w:p>
            <w:pPr>
              <w:pStyle w:val="ListParagraph"/>
              <w:numPr>
                <w:ilvl w:val="0"/>
                <w:numId w:val="1"/>
              </w:numPr>
              <w:spacing w:after="80"/>
            </w:pPr>
            <w:r>
              <w:rPr>
                <w:rFonts w:ascii="Calibri" w:cs="Calibri" w:eastAsia="Calibri" w:hAnsi="Calibri"/>
                <w:color w:val="1E293B"/>
                <w:sz w:val="21"/>
                <w:szCs w:val="21"/>
              </w:rPr>
              <w:t xml:space="preserve">Ruang lingkup nazhir mencakup seluruh bentuk — perseorangan, organisasi, dan badan hukum — sedangkan ruang lingkup wakif dibatasi hanya pada organisasi dan badan hukum.</w:t>
            </w:r>
          </w:p>
          <w:p>
            <w:pPr>
              <w:pStyle w:val="ListParagraph"/>
              <w:numPr>
                <w:ilvl w:val="0"/>
                <w:numId w:val="1"/>
              </w:numPr>
              <w:spacing w:after="80"/>
            </w:pPr>
            <w:r>
              <w:rPr>
                <w:rFonts w:ascii="Calibri" w:cs="Calibri" w:eastAsia="Calibri" w:hAnsi="Calibri"/>
                <w:color w:val="1E293B"/>
                <w:sz w:val="21"/>
                <w:szCs w:val="21"/>
              </w:rPr>
              <w:t xml:space="preserve">Cakupan meliputi aset wakaf uang, aset tidak bergerak, dan aset bergerak lain, serta tetap harus dibaca bersama PSAK 101 dan dipisahkan dari PSAK 109.</w:t>
            </w:r>
          </w:p>
        </w:tc>
      </w:tr>
    </w:tbl>
    <w:p>
      <w:pPr>
        <w:pageBreakBefore/>
        <w:spacing w:after="80"/>
      </w:pPr>
      <w:r>
        <w:rPr>
          <w:rFonts w:ascii="Calibri" w:cs="Calibri" w:eastAsia="Calibri" w:hAnsi="Calibri"/>
          <w:b/>
          <w:bCs/>
          <w:caps/>
          <w:color w:val="64748B"/>
          <w:sz w:val="22"/>
          <w:szCs w:val="22"/>
        </w:rPr>
        <w:t xml:space="preserve">BAB 3</w:t>
      </w:r>
    </w:p>
    <w:p>
      <w:pPr>
        <w:pStyle w:val="Heading1"/>
        <w:spacing w:after="400" w:before="200"/>
      </w:pPr>
      <w:r>
        <w:rPr>
          <w:rFonts w:ascii="Calibri" w:cs="Calibri" w:eastAsia="Calibri" w:hAnsi="Calibri"/>
          <w:b/>
          <w:bCs/>
          <w:color w:val="065F46"/>
          <w:sz w:val="40"/>
          <w:szCs w:val="40"/>
        </w:rPr>
        <w:t xml:space="preserve">Entitas Pelaporan Wakaf dan Prinsip Tidak Dikonsolidasi</w:t>
      </w:r>
    </w:p>
    <w:p>
      <w:pPr>
        <w:spacing w:after="200" w:line="300"/>
        <w:jc w:val="both"/>
      </w:pPr>
      <w:r>
        <w:rPr>
          <w:rFonts w:ascii="Calibri" w:cs="Calibri" w:eastAsia="Calibri" w:hAnsi="Calibri"/>
          <w:color w:val="1E293B"/>
          <w:sz w:val="22"/>
          <w:szCs w:val="22"/>
        </w:rPr>
        <w:t xml:space="preserve">Salah satu ketentuan paling mendasar dalam PSAK 412 adalah konsep entitas wakaf sebagai entitas pelaporan tersendiri yang laporan keuangannya tidak dikonsolidasikan ke dalam laporan keuangan organisasi atau badan hukum nazhir.</w:t>
      </w:r>
    </w:p>
    <w:p>
      <w:pPr>
        <w:pStyle w:val="Heading3"/>
        <w:spacing w:after="120" w:before="240"/>
      </w:pPr>
      <w:r>
        <w:rPr>
          <w:rFonts w:ascii="Calibri" w:cs="Calibri" w:eastAsia="Calibri" w:hAnsi="Calibri"/>
          <w:b/>
          <w:bCs/>
          <w:color w:val="065F46"/>
          <w:sz w:val="24"/>
          <w:szCs w:val="24"/>
        </w:rPr>
        <w:t xml:space="preserve">Konsep Entitas Wakaf</w:t>
      </w:r>
    </w:p>
    <w:p>
      <w:pPr>
        <w:spacing w:after="200" w:line="300"/>
        <w:jc w:val="both"/>
      </w:pPr>
      <w:r>
        <w:rPr>
          <w:rFonts w:ascii="Calibri" w:cs="Calibri" w:eastAsia="Calibri" w:hAnsi="Calibri"/>
          <w:color w:val="1E293B"/>
          <w:sz w:val="22"/>
          <w:szCs w:val="22"/>
        </w:rPr>
        <w:t xml:space="preserve">PSAK 412 memperkenalkan istilah entitas wakaf untuk merujuk pada pengelolaan dan pengembangan wakaf yang diperlakukan sebagai suatu entitas pelaporan tersendiri, terpisah dari entitas nazhir yang mengelolanya. Entitas wakaf menyusun laporan keuangannya sendiri dan tidak dikonsolidasikan ke dalam laporan keuangan organisasi atau badan hukum nazhir, sekalipun secara operasional nazhir adalah pihak yang menjalankan pengelolaan sehari-hari.</w:t>
      </w:r>
    </w:p>
    <w:p>
      <w:pPr>
        <w:spacing w:after="200" w:line="300"/>
        <w:jc w:val="both"/>
      </w:pPr>
      <w:r>
        <w:rPr>
          <w:rFonts w:ascii="Calibri" w:cs="Calibri" w:eastAsia="Calibri" w:hAnsi="Calibri"/>
          <w:color w:val="1E293B"/>
          <w:sz w:val="22"/>
          <w:szCs w:val="22"/>
        </w:rPr>
        <w:t xml:space="preserve">Prinsip tidak dikonsolidasi ini berbeda dari konsep konsolidasi entitas anak pada standar akuntansi keuangan umum, di mana entitas induk mengonsolidasikan laporan keuangan entitas yang berada di bawah pengendaliannya. Pada wakaf, sekalipun nazhir mengendalikan pengelolaan aset wakaf, aset tersebut secara hukum bukan miliknya sehingga tidak layak disatukan (dikonsolidasikan) ke dalam laporan keuangan nazhir sebagai badan hukum. Materi sosialisasi resmi DSAS-IAI turut menegaskan bahwa prinsip tidak dikonsolidasi ini berlaku dua arah: apabila entitas wakaf memiliki penyertaan pada entitas anak (misalnya badan usaha yang didirikan untuk mengelola aset wakaf produktif tertentu), laporan keuangan entitas anak tersebut juga tidak dikonsolidasikan ke dalam laporan keuangan entitas wakaf, melainkan dicatat sebagai investasi.</w:t>
      </w:r>
    </w:p>
    <w:p>
      <w:pPr>
        <w:pStyle w:val="Heading3"/>
        <w:spacing w:after="120" w:before="240"/>
      </w:pPr>
      <w:r>
        <w:rPr>
          <w:rFonts w:ascii="Calibri" w:cs="Calibri" w:eastAsia="Calibri" w:hAnsi="Calibri"/>
          <w:b/>
          <w:bCs/>
          <w:color w:val="065F46"/>
          <w:sz w:val="24"/>
          <w:szCs w:val="24"/>
        </w:rPr>
        <w:t xml:space="preserve">Dasar Hukum Pemisahan Aset Wakaf</w:t>
      </w:r>
    </w:p>
    <w:p>
      <w:pPr>
        <w:spacing w:after="200" w:line="300"/>
        <w:jc w:val="both"/>
      </w:pPr>
      <w:r>
        <w:rPr>
          <w:rFonts w:ascii="Calibri" w:cs="Calibri" w:eastAsia="Calibri" w:hAnsi="Calibri"/>
          <w:color w:val="1E293B"/>
          <w:sz w:val="22"/>
          <w:szCs w:val="22"/>
        </w:rPr>
        <w:t xml:space="preserve">Pemisahan ini konsisten dengan ketentuan Peraturan Pemerintah Nomor 42 Tahun 2006 tentang Pelaksanaan Undang-Undang Nomor 41 Tahun 2004 tentang Wakaf, sebagaimana telah diubah dengan Peraturan Pemerintah Nomor 25 Tahun 2018, yang mengatur bahwa harta benda wakaf yang sudah diwakafkan dilarang dijadikan jaminan, disita, dihibahkan, dijual, diwariskan, ditukar, atau dialihkan dalam bentuk pengalihan hak lainnya, kecuali dalam keadaan tertentu yang diatur secara ketat, misalnya proses ruislag (tukar guling) yang harus memperoleh izin tertulis dari Menteri Agama berdasarkan pertimbangan Badan Wakaf Indonesia.</w:t>
      </w:r>
    </w:p>
    <w:p>
      <w:pPr>
        <w:spacing w:after="200" w:line="300"/>
        <w:jc w:val="both"/>
      </w:pPr>
      <w:r>
        <w:rPr>
          <w:rFonts w:ascii="Calibri" w:cs="Calibri" w:eastAsia="Calibri" w:hAnsi="Calibri"/>
          <w:color w:val="1E293B"/>
          <w:sz w:val="22"/>
          <w:szCs w:val="22"/>
        </w:rPr>
        <w:t xml:space="preserve">Ketentuan tersebut menegaskan bahwa harta wakaf berada dalam status hukum khusus yang tidak dapat diperlakukan sebagai aset bebas milik nazhir. Konsekuensi akuntansinya adalah aset wakaf harus dibukukan dan dilaporkan secara terpisah, bukan digabungkan (dikonsolidasikan) dengan kekayaan operasional nazhir.</w:t>
      </w:r>
    </w:p>
    <w:p>
      <w:pPr>
        <w:pStyle w:val="Heading3"/>
        <w:spacing w:after="120" w:before="240"/>
      </w:pPr>
      <w:r>
        <w:rPr>
          <w:rFonts w:ascii="Calibri" w:cs="Calibri" w:eastAsia="Calibri" w:hAnsi="Calibri"/>
          <w:b/>
          <w:bCs/>
          <w:color w:val="065F46"/>
          <w:sz w:val="24"/>
          <w:szCs w:val="24"/>
        </w:rPr>
        <w:t xml:space="preserve">Implikasi bagi Nazhir Badan Hukum</w:t>
      </w:r>
    </w:p>
    <w:p>
      <w:pPr>
        <w:spacing w:after="200" w:line="300"/>
        <w:jc w:val="both"/>
      </w:pPr>
      <w:r>
        <w:rPr>
          <w:rFonts w:ascii="Calibri" w:cs="Calibri" w:eastAsia="Calibri" w:hAnsi="Calibri"/>
          <w:color w:val="1E293B"/>
          <w:sz w:val="22"/>
          <w:szCs w:val="22"/>
        </w:rPr>
        <w:t xml:space="preserve">Bagi nazhir yang berbentuk badan hukum, misalnya yayasan atau perkumpulan yang telah dikukuhkan sebagai nazhir sesuai ketentuan Undang-Undang Nomor 41 Tahun 2004, implikasi praktisnya adalah perlunya pembukuan ganda: satu set laporan keuangan untuk entitas badan hukum nazhir itu sendiri (mengikuti standar akuntansi yang berlaku bagi bentuk badan hukumnya, misalnya PSAK 45 bagi yayasan), dan satu set laporan keuangan tersendiri untuk entitas wakaf yang dikelolanya, mengikuti PSAK 412. Ujrah atau hak amil nazhir yang diperoleh dari pengelolaan wakaf dicatat sebagai pendapatan pada laporan keuangan nazhir selaku badan hukum, bukan sebagai bagian dari laporan keuangan entitas wakaf, sebagaimana akan dibahas lebih lanjut pada Bab 5.</w:t>
      </w:r>
    </w:p>
    <w:p>
      <w:pPr>
        <w:spacing w:after="200" w:line="300"/>
        <w:jc w:val="both"/>
      </w:pPr>
      <w:r>
        <w:rPr>
          <w:rFonts w:ascii="Calibri" w:cs="Calibri" w:eastAsia="Calibri" w:hAnsi="Calibri"/>
          <w:color w:val="1E293B"/>
          <w:sz w:val="22"/>
          <w:szCs w:val="22"/>
        </w:rPr>
        <w:t xml:space="preserve">Apabila nazhir mengelola lebih dari satu proyek atau penerimaan wakaf dari banyak wakif, entitas wakaf dapat disusun secara gabungan (pooled) dengan tetap menyajikan rincian aset menurut jenis dan sumber (wakif vs. hasil pengelolaan) melalui laporan rincian aset wakaf, yang dapat dilengkapi subledger internal per wakif secara sukarela, sebagaimana dibahas pada Bab 6.</w:t>
      </w:r>
    </w:p>
    <w:p>
      <w:pPr>
        <w:pStyle w:val="Heading3"/>
        <w:spacing w:after="120" w:before="240"/>
      </w:pPr>
      <w:r>
        <w:rPr>
          <w:rFonts w:ascii="Calibri" w:cs="Calibri" w:eastAsia="Calibri" w:hAnsi="Calibri"/>
          <w:b/>
          <w:bCs/>
          <w:color w:val="065F46"/>
          <w:sz w:val="24"/>
          <w:szCs w:val="24"/>
        </w:rPr>
        <w:t xml:space="preserve">Pemisahan Pembukuan dalam Praktik Sehari-hari</w:t>
      </w:r>
    </w:p>
    <w:p>
      <w:pPr>
        <w:spacing w:after="200" w:line="300"/>
        <w:jc w:val="both"/>
      </w:pPr>
      <w:r>
        <w:rPr>
          <w:rFonts w:ascii="Calibri" w:cs="Calibri" w:eastAsia="Calibri" w:hAnsi="Calibri"/>
          <w:color w:val="1E293B"/>
          <w:sz w:val="22"/>
          <w:szCs w:val="22"/>
        </w:rPr>
        <w:t xml:space="preserve">Secara operasional, pemisahan pembukuan dapat diwujudkan melalui penggunaan kode akun (chart of accounts) yang berbeda antara entitas badan hukum nazhir dan entitas wakaf, rekening bank yang terpisah untuk menampung kas wakaf, serta kebijakan otorisasi transaksi yang eksplisit membedakan pengeluaran untuk kepentingan operasional nazhir dari pengeluaran untuk kepentingan pengelolaan wakaf. Tanpa pemisahan rekening, misalnya, risiko tercampurnya kas wakaf dengan kas operasional nazhir menjadi tinggi, yang dapat menimbulkan kesulitan pada saat audit maupun pada saat pelaporan kepada BWI.</w:t>
      </w:r>
    </w:p>
    <w:p>
      <w:pPr>
        <w:spacing w:after="200" w:line="300"/>
        <w:jc w:val="both"/>
      </w:pPr>
      <w:r>
        <w:rPr>
          <w:rFonts w:ascii="Calibri" w:cs="Calibri" w:eastAsia="Calibri" w:hAnsi="Calibri"/>
          <w:color w:val="1E293B"/>
          <w:sz w:val="22"/>
          <w:szCs w:val="22"/>
        </w:rPr>
        <w:t xml:space="preserve">Bagi nazhir yang berperan pula sebagai LKS-PWU seperti BPRS, pemisahan ini menjadi lebih krusial karena lembaga tersebut sekaligus menjalankan fungsi sebagai bank (dengan seluruh ketentuan prudential perbankan syariah yang berlaku) dan fungsi sebagai penerima serta, dalam sebagian struktur, pengelola wakaf. Kedua fungsi ini harus tercermin dalam dua kerangka pelaporan yang berbeda dan tidak boleh saling memengaruhi perhitungan kecukupan modal maupun kualitas aset produktif perbankan.</w:t>
      </w:r>
    </w:p>
    <w:p>
      <w:pPr>
        <w:pStyle w:val="Heading3"/>
        <w:spacing w:after="120" w:before="240"/>
      </w:pPr>
      <w:r>
        <w:rPr>
          <w:rFonts w:ascii="Calibri" w:cs="Calibri" w:eastAsia="Calibri" w:hAnsi="Calibri"/>
          <w:b/>
          <w:bCs/>
          <w:color w:val="065F46"/>
          <w:sz w:val="24"/>
          <w:szCs w:val="24"/>
        </w:rPr>
        <w:t xml:space="preserve">Peran Dewan Pengawas Syariah dalam Pengawasan Entitas Wakaf</w:t>
      </w:r>
    </w:p>
    <w:p>
      <w:pPr>
        <w:spacing w:after="200" w:line="300"/>
        <w:jc w:val="both"/>
      </w:pPr>
      <w:r>
        <w:rPr>
          <w:rFonts w:ascii="Calibri" w:cs="Calibri" w:eastAsia="Calibri" w:hAnsi="Calibri"/>
          <w:color w:val="1E293B"/>
          <w:sz w:val="22"/>
          <w:szCs w:val="22"/>
        </w:rPr>
        <w:t xml:space="preserve">Dewan Pengawas Syariah (DPS), yang lazim dimiliki oleh lembaga keuangan syariah termasuk BPRS yang berperan sebagai LKS-PWU, memiliki peran penting dalam memastikan bahwa pengelolaan aset wakaf dan penyajian laporan keuangannya tidak menyimpang dari prinsip syariah, termasuk memastikan bahwa investasi atas dana wakaf uang ditempatkan pada instrumen yang sesuai syariah dan bahwa pembagian ujrah/hak amil nazhir tidak melampaui batas kewajaran yang berlaku. Keterlibatan DPS sejak tahap perancangan kebijakan akuntansi wakaf akan mengurangi risiko koreksi di kemudian hari.</w:t>
      </w:r>
    </w:p>
    <w:p>
      <w:pPr>
        <w:spacing w:after="100" w:before="1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PENTING — Tidak Dikonsolidasi Bukan Berarti Tidak Diaudit</w:t>
            </w:r>
          </w:p>
          <w:p>
            <w:pPr>
              <w:spacing w:after="0" w:line="280"/>
              <w:jc w:val="both"/>
            </w:pPr>
            <w:r>
              <w:rPr>
                <w:rFonts w:ascii="Calibri" w:cs="Calibri" w:eastAsia="Calibri" w:hAnsi="Calibri"/>
                <w:color w:val="1E293B"/>
                <w:sz w:val="21"/>
                <w:szCs w:val="21"/>
              </w:rPr>
              <w:t xml:space="preserve">Prinsip tidak dikonsolidasi hanya berarti laporan keuangan entitas wakaf disajikan terpisah dari laporan keuangan badan hukum nazhir. Prinsip ini tidak mengurangi kewajiban nazhir untuk menyelenggarakan pembukuan yang tertib, dapat diaudit, dan dilaporkan secara berkala kepada wakif, Badan Wakaf Indonesia, dan pihak berwenang lain sesuai peraturan perundang-undangan yang berlaku.</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Entitas wakaf adalah entitas pelaporan tersendiri yang laporannya tidak dikonsolidasikan ke laporan keuangan badan hukum nazhir.</w:t>
            </w:r>
          </w:p>
          <w:p>
            <w:pPr>
              <w:pStyle w:val="ListParagraph"/>
              <w:numPr>
                <w:ilvl w:val="0"/>
                <w:numId w:val="1"/>
              </w:numPr>
              <w:spacing w:after="80"/>
            </w:pPr>
            <w:r>
              <w:rPr>
                <w:rFonts w:ascii="Calibri" w:cs="Calibri" w:eastAsia="Calibri" w:hAnsi="Calibri"/>
                <w:color w:val="1E293B"/>
                <w:sz w:val="21"/>
                <w:szCs w:val="21"/>
              </w:rPr>
              <w:t xml:space="preserve">Pemisahan ini sejalan dengan larangan pengalihan harta wakaf di luar ketentuan PP No. 42/2006 jo. PP No. 25/2018.</w:t>
            </w:r>
          </w:p>
          <w:p>
            <w:pPr>
              <w:pStyle w:val="ListParagraph"/>
              <w:numPr>
                <w:ilvl w:val="0"/>
                <w:numId w:val="1"/>
              </w:numPr>
              <w:spacing w:after="80"/>
            </w:pPr>
            <w:r>
              <w:rPr>
                <w:rFonts w:ascii="Calibri" w:cs="Calibri" w:eastAsia="Calibri" w:hAnsi="Calibri"/>
                <w:color w:val="1E293B"/>
                <w:sz w:val="21"/>
                <w:szCs w:val="21"/>
              </w:rPr>
              <w:t xml:space="preserve">Nazhir badan hukum lazimnya menyelenggarakan dua set laporan keuangan: satu untuk badan hukumnya sendiri, satu untuk entitas wakaf yang dikelolanya.</w:t>
            </w:r>
          </w:p>
        </w:tc>
      </w:tr>
    </w:tbl>
    <w:p>
      <w:pPr>
        <w:pageBreakBefore/>
        <w:spacing w:after="80"/>
      </w:pPr>
      <w:r>
        <w:rPr>
          <w:rFonts w:ascii="Calibri" w:cs="Calibri" w:eastAsia="Calibri" w:hAnsi="Calibri"/>
          <w:b/>
          <w:bCs/>
          <w:caps/>
          <w:color w:val="64748B"/>
          <w:sz w:val="22"/>
          <w:szCs w:val="22"/>
        </w:rPr>
        <w:t xml:space="preserve">BAB 4</w:t>
      </w:r>
    </w:p>
    <w:p>
      <w:pPr>
        <w:pStyle w:val="Heading1"/>
        <w:spacing w:after="400" w:before="200"/>
      </w:pPr>
      <w:r>
        <w:rPr>
          <w:rFonts w:ascii="Calibri" w:cs="Calibri" w:eastAsia="Calibri" w:hAnsi="Calibri"/>
          <w:b/>
          <w:bCs/>
          <w:color w:val="065F46"/>
          <w:sz w:val="40"/>
          <w:szCs w:val="40"/>
        </w:rPr>
        <w:t xml:space="preserve">Pengakuan dan Pengukuran Aset Wakaf: Uang, Aset Tidak Bergerak, dan Aset Bergerak Lain</w:t>
      </w:r>
    </w:p>
    <w:p>
      <w:pPr>
        <w:spacing w:after="200" w:line="300"/>
        <w:jc w:val="both"/>
      </w:pPr>
      <w:r>
        <w:rPr>
          <w:rFonts w:ascii="Calibri" w:cs="Calibri" w:eastAsia="Calibri" w:hAnsi="Calibri"/>
          <w:color w:val="1E293B"/>
          <w:sz w:val="22"/>
          <w:szCs w:val="22"/>
        </w:rPr>
        <w:t xml:space="preserve">Bab ini menjelaskan kapan aset wakaf diakui dalam laporan keuangan entitas wakaf dan bagaimana nilainya diukur, baik pada saat pengakuan awal maupun selama masa pengelolaannya.</w:t>
      </w:r>
    </w:p>
    <w:p>
      <w:pPr>
        <w:pStyle w:val="Heading3"/>
        <w:spacing w:after="120" w:before="240"/>
      </w:pPr>
      <w:r>
        <w:rPr>
          <w:rFonts w:ascii="Calibri" w:cs="Calibri" w:eastAsia="Calibri" w:hAnsi="Calibri"/>
          <w:b/>
          <w:bCs/>
          <w:color w:val="065F46"/>
          <w:sz w:val="24"/>
          <w:szCs w:val="24"/>
        </w:rPr>
        <w:t xml:space="preserve">Kriteria Pengakuan Awal</w:t>
      </w:r>
    </w:p>
    <w:p>
      <w:pPr>
        <w:spacing w:after="200" w:line="300"/>
        <w:jc w:val="both"/>
      </w:pPr>
      <w:r>
        <w:rPr>
          <w:rFonts w:ascii="Calibri" w:cs="Calibri" w:eastAsia="Calibri" w:hAnsi="Calibri"/>
          <w:color w:val="1E293B"/>
          <w:sz w:val="22"/>
          <w:szCs w:val="22"/>
        </w:rPr>
        <w:t xml:space="preserve">Aset wakaf diakui pada saat telah terjadi pengalihan secara hukum dan pengalihan manfaat ekonomis dari aset yang diwakafkan kepada entitas wakaf. Kedua unsur ini — pengalihan hukum (misalnya melalui Akta Ikrar Wakaf/AIW yang dibuat di hadapan Pejabat Pembuat Akta Ikrar Wakaf, atau melalui LKS-PWU untuk wakaf uang) dan pengalihan manfaat ekonomis (kendali atas aset beralih kepada nazhir untuk dikelola) — harus terpenuhi bersamaan sebelum aset dicatat, dan dalam praktiknya umumnya terpenuhi bersamaan pada saat akta ikrar wakaf dibuat.</w:t>
      </w:r>
    </w:p>
    <w:p>
      <w:pPr>
        <w:spacing w:after="200" w:line="300"/>
        <w:jc w:val="both"/>
      </w:pPr>
      <w:r>
        <w:rPr>
          <w:rFonts w:ascii="Calibri" w:cs="Calibri" w:eastAsia="Calibri" w:hAnsi="Calibri"/>
          <w:color w:val="1E293B"/>
          <w:sz w:val="22"/>
          <w:szCs w:val="22"/>
        </w:rPr>
        <w:t xml:space="preserve">Hasil pengelolaan dan pengembangan dari aset wakaf, misalnya hasil sewa aset wakaf produktif atau imbal hasil investasi dana wakaf uang, diakui sebagai penghasilan entitas wakaf pada saat perolehan, bukan sebagai pendapatan entitas nazhir selaku badan hukum.</w:t>
      </w:r>
    </w:p>
    <w:p>
      <w:pPr>
        <w:pStyle w:val="Heading3"/>
        <w:spacing w:after="120" w:before="240"/>
      </w:pPr>
      <w:r>
        <w:rPr>
          <w:rFonts w:ascii="Calibri" w:cs="Calibri" w:eastAsia="Calibri" w:hAnsi="Calibri"/>
          <w:b/>
          <w:bCs/>
          <w:color w:val="065F46"/>
          <w:sz w:val="24"/>
          <w:szCs w:val="24"/>
        </w:rPr>
        <w:t xml:space="preserve">Wasiat dan Wa'd Wakaf Tidak Diakui sebagai Aset</w:t>
      </w:r>
    </w:p>
    <w:p>
      <w:pPr>
        <w:spacing w:after="200" w:line="300"/>
        <w:jc w:val="both"/>
      </w:pPr>
      <w:r>
        <w:rPr>
          <w:rFonts w:ascii="Calibri" w:cs="Calibri" w:eastAsia="Calibri" w:hAnsi="Calibri"/>
          <w:color w:val="1E293B"/>
          <w:sz w:val="22"/>
          <w:szCs w:val="22"/>
        </w:rPr>
        <w:t xml:space="preserve">Poin yang perlu ditegaskan dan sering menjadi sumber kesalahpahaman adalah bahwa wasiat wakaf (janji mewakafkan yang dituangkan dalam wasiat, baru berlaku setelah pewasiat meninggal dunia) maupun wa'd wakaf (janji lisan atau tertulis untuk berwakaf di masa depan tanpa penyerahan aset saat ini) belum memenuhi kriteria pengakuan aset wakaf. Entitas wakaf maupun nazhir tidak diperkenankan mencatat wasiat atau wa'd sebagai aset wakaf sebelum benar-benar terjadi pengalihan hukum dan pengalihan manfaat ekonomis sebagaimana disyaratkan pada kriteria pengakuan awal, sekalipun wasiat atau wa'd tersebut dapat diungkapkan secara naratif pada catatan atas laporan keuangan sebagai informasi tambahan mengenai potensi penerimaan wakaf di masa depan.</w:t>
      </w:r>
    </w:p>
    <w:p>
      <w:pPr>
        <w:pStyle w:val="Heading3"/>
        <w:spacing w:after="120" w:before="240"/>
      </w:pPr>
      <w:r>
        <w:rPr>
          <w:rFonts w:ascii="Calibri" w:cs="Calibri" w:eastAsia="Calibri" w:hAnsi="Calibri"/>
          <w:b/>
          <w:bCs/>
          <w:color w:val="065F46"/>
          <w:sz w:val="24"/>
          <w:szCs w:val="24"/>
        </w:rPr>
        <w:t xml:space="preserve">Pengukuran Wakaf Uang</w:t>
      </w:r>
    </w:p>
    <w:p>
      <w:pPr>
        <w:spacing w:after="200" w:line="300"/>
        <w:jc w:val="both"/>
      </w:pPr>
      <w:r>
        <w:rPr>
          <w:rFonts w:ascii="Calibri" w:cs="Calibri" w:eastAsia="Calibri" w:hAnsi="Calibri"/>
          <w:color w:val="1E293B"/>
          <w:sz w:val="22"/>
          <w:szCs w:val="22"/>
        </w:rPr>
        <w:t xml:space="preserve">Wakaf uang diukur sebesar nilai nominal yang diserahkan wakif. Sesuai Fatwa Majelis Ulama Indonesia/Dewan Syariah Nasional-MUI Nomor 2 Tahun 2002 tentang Wakaf Uang, penyaluran wakaf uang dilakukan melalui Lembaga Keuangan Syariah Penerima Wakaf Uang (LKS-PWU) yang ditunjuk oleh Menteri Agama, dan nilai pokok wakaf uang wajib dijamin kelestariannya, tidak boleh dijual, dihibahkan, atau diwariskan. Pengelolaan wakaf uang umumnya diarahkan pada investasi yang sesuai prinsip syariah, dengan hasil investasi yang disalurkan untuk mauquf ‘alaih, sementara pokok wakaf tetap dijaga.</w:t>
      </w:r>
    </w:p>
    <w:p>
      <w:pPr>
        <w:pStyle w:val="Heading3"/>
        <w:spacing w:after="120" w:before="240"/>
      </w:pPr>
      <w:r>
        <w:rPr>
          <w:rFonts w:ascii="Calibri" w:cs="Calibri" w:eastAsia="Calibri" w:hAnsi="Calibri"/>
          <w:b/>
          <w:bCs/>
          <w:color w:val="065F46"/>
          <w:sz w:val="24"/>
          <w:szCs w:val="24"/>
        </w:rPr>
        <w:t xml:space="preserve">Pengukuran Aset Tidak Bergerak</w:t>
      </w:r>
    </w:p>
    <w:p>
      <w:pPr>
        <w:spacing w:after="200" w:line="300"/>
        <w:jc w:val="both"/>
      </w:pPr>
      <w:r>
        <w:rPr>
          <w:rFonts w:ascii="Calibri" w:cs="Calibri" w:eastAsia="Calibri" w:hAnsi="Calibri"/>
          <w:color w:val="1E293B"/>
          <w:sz w:val="22"/>
          <w:szCs w:val="22"/>
        </w:rPr>
        <w:t xml:space="preserve">Aset wakaf tidak bergerak, seperti tanah dan bangunan, diukur pada saat pengakuan awal sebesar nilai wajar (fair value) pada tanggal aset tersebut diserahkan sebagai wakaf. Nilai wajar umumnya diperoleh melalui penilaian oleh penilai independen atau berdasarkan Nilai Jual Objek Pajak (NJOP) dan indikator pasar yang relevan, dengan tetap memperhatikan dokumen sertifikasi wakaf yang diterbitkan sesuai Peraturan Pemerintah Nomor 42 Tahun 2006 jo. Peraturan Pemerintah Nomor 25 Tahun 2018.</w:t>
      </w:r>
    </w:p>
    <w:p>
      <w:pPr>
        <w:spacing w:after="200" w:line="300"/>
        <w:jc w:val="both"/>
      </w:pPr>
      <w:r>
        <w:rPr>
          <w:rFonts w:ascii="Calibri" w:cs="Calibri" w:eastAsia="Calibri" w:hAnsi="Calibri"/>
          <w:color w:val="1E293B"/>
          <w:sz w:val="22"/>
          <w:szCs w:val="22"/>
        </w:rPr>
        <w:t xml:space="preserve">Untuk aset tidak bergerak yang digunakan secara produktif oleh nazhir dalam mendukung kegiatan wakaf, entitas wakaf perlu mempertimbangkan penyusutan sepanjang aset tersebut memiliki masa manfaat terbatas (misalnya bangunan), sementara tanah pada umumnya tidak disusutkan karena masa manfaatnya tidak terbatas.</w:t>
      </w:r>
    </w:p>
    <w:p>
      <w:pPr>
        <w:pStyle w:val="Heading3"/>
        <w:spacing w:after="120" w:before="240"/>
      </w:pPr>
      <w:r>
        <w:rPr>
          <w:rFonts w:ascii="Calibri" w:cs="Calibri" w:eastAsia="Calibri" w:hAnsi="Calibri"/>
          <w:b/>
          <w:bCs/>
          <w:color w:val="065F46"/>
          <w:sz w:val="24"/>
          <w:szCs w:val="24"/>
        </w:rPr>
        <w:t xml:space="preserve">Pengukuran Aset Bergerak Lain</w:t>
      </w:r>
    </w:p>
    <w:p>
      <w:pPr>
        <w:spacing w:after="200" w:line="300"/>
        <w:jc w:val="both"/>
      </w:pPr>
      <w:r>
        <w:rPr>
          <w:rFonts w:ascii="Calibri" w:cs="Calibri" w:eastAsia="Calibri" w:hAnsi="Calibri"/>
          <w:color w:val="1E293B"/>
          <w:sz w:val="22"/>
          <w:szCs w:val="22"/>
        </w:rPr>
        <w:t xml:space="preserve">Aset wakaf bergerak selain uang — seperti logam mulia, surat berharga, kendaraan, hak kekayaan intelektual, dan hak sewa — diukur pada pengakuan awal sebesar nilai wajar pada tanggal penyerahan. Untuk aset yang memiliki nilai pasar aktif seperti logam mulia dan surat berharga, nilai wajar dapat diperoleh dari harga pasar yang berlaku pada tanggal transaksi; untuk aset yang tidak memiliki pasar aktif, entitas wakaf perlu menggunakan estimasi terbaik yang dapat dipertanggungjawabkan, misalnya melalui penilai profesional.</w:t>
      </w:r>
    </w:p>
    <w:p>
      <w:pPr>
        <w:pStyle w:val="Heading3"/>
        <w:spacing w:after="120" w:before="240"/>
      </w:pPr>
      <w:r>
        <w:rPr>
          <w:rFonts w:ascii="Calibri" w:cs="Calibri" w:eastAsia="Calibri" w:hAnsi="Calibri"/>
          <w:b/>
          <w:bCs/>
          <w:color w:val="065F46"/>
          <w:sz w:val="24"/>
          <w:szCs w:val="24"/>
        </w:rPr>
        <w:t xml:space="preserve">Pengukuran Selanjutnya dan Rujukan ke PSAK Lain</w:t>
      </w:r>
    </w:p>
    <w:p>
      <w:pPr>
        <w:spacing w:after="200" w:line="300"/>
        <w:jc w:val="both"/>
      </w:pPr>
      <w:r>
        <w:rPr>
          <w:rFonts w:ascii="Calibri" w:cs="Calibri" w:eastAsia="Calibri" w:hAnsi="Calibri"/>
          <w:color w:val="1E293B"/>
          <w:sz w:val="22"/>
          <w:szCs w:val="22"/>
        </w:rPr>
        <w:t xml:space="preserve">Untuk pengukuran selanjutnya (subsequent measurement), PSAK 412 secara eksplisit hanya mengatur bahwa logam mulia diukur pada nilai wajar pada setiap tanggal pelaporan, sementara aset wakaf lain diukur mengikuti PSAK yang relevan. Materi sosialisasi resmi DSAS-IAI merinci rujukan tersebut sebagai berikut: aset tetap wakaf mengikuti PSAK 16: Aset Tetap; properti investasi wakaf mengikuti PSAK 13: Properti Investasi; aset takberwujud wakaf (termasuk hak kekayaan intelektual) mengikuti PSAK 19: Aset Takberwujud; sukuk yang menjadi bagian aset wakaf mengikuti PSAK 110: Akuntansi Sukuk; dan aset keuangan wakaf selain sukuk mengikuti PSAK 71: Instrumen Keuangan.</w:t>
      </w:r>
    </w:p>
    <w:p>
      <w:pPr>
        <w:spacing w:after="200" w:line="300"/>
        <w:jc w:val="both"/>
      </w:pPr>
      <w:r>
        <w:rPr>
          <w:rFonts w:ascii="Calibri" w:cs="Calibri" w:eastAsia="Calibri" w:hAnsi="Calibri"/>
          <w:color w:val="1E293B"/>
          <w:sz w:val="22"/>
          <w:szCs w:val="22"/>
        </w:rPr>
        <w:t xml:space="preserve">Kebijakan akuntansi lain yang tidak diatur secara eksplisit dalam PSAK 412 harus disesuaikan dengan karakteristik entitas pelaporan wakaf, dengan tetap merujuk pada PSAK yang paling relevan sebagaimana lazim berlaku dalam kerangka SAK umum. Nazhir dan auditor perlu mendokumentasikan pilihan kebijakan akuntansi tersebut secara eksplisit pada catatan atas laporan keuangan agar konsisten dari periode ke periode.</w:t>
      </w:r>
    </w:p>
    <w:p>
      <w:pPr>
        <w:pStyle w:val="Heading3"/>
        <w:spacing w:after="120" w:before="240"/>
      </w:pPr>
      <w:r>
        <w:rPr>
          <w:rFonts w:ascii="Calibri" w:cs="Calibri" w:eastAsia="Calibri" w:hAnsi="Calibri"/>
          <w:b/>
          <w:bCs/>
          <w:color w:val="065F46"/>
          <w:sz w:val="24"/>
          <w:szCs w:val="24"/>
        </w:rPr>
        <w:t xml:space="preserve">Pemeliharaan Nilai dan Penurunan Nilai Aset Wakaf</w:t>
      </w:r>
    </w:p>
    <w:p>
      <w:pPr>
        <w:spacing w:after="200" w:line="300"/>
        <w:jc w:val="both"/>
      </w:pPr>
      <w:r>
        <w:rPr>
          <w:rFonts w:ascii="Calibri" w:cs="Calibri" w:eastAsia="Calibri" w:hAnsi="Calibri"/>
          <w:color w:val="1E293B"/>
          <w:sz w:val="22"/>
          <w:szCs w:val="22"/>
        </w:rPr>
        <w:t xml:space="preserve">Prinsip dasar pengelolaan wakaf menuntut pokok harta wakaf dijaga kelestariannya, sehingga entitas wakaf perlu memantau kondisi asetnya secara berkala, termasuk kemungkinan penurunan nilai (impairment) pada aset wakaf produktif akibat kerusakan fisik, penurunan nilai pasar aset bergerak, atau gagal bayar pada instrumen investasi. Sekalipun PSAK 412 tidak mengatur secara khusus dan terperinci sebagaimana standar penurunan nilai aset pada PSAK lain, nazhir tetap perlu menerapkan kehati-hatian (prudence) dalam menilai apakah nilai tercatat aset wakaf masih mencerminkan nilai yang dapat direalisasikan, dan mengungkapkan kondisi tersebut secara memadai pada catatan atas laporan keuangan.</w:t>
      </w:r>
    </w:p>
    <w:p>
      <w:pPr>
        <w:spacing w:after="200" w:line="300"/>
        <w:jc w:val="both"/>
      </w:pPr>
      <w:r>
        <w:rPr>
          <w:rFonts w:ascii="Calibri" w:cs="Calibri" w:eastAsia="Calibri" w:hAnsi="Calibri"/>
          <w:color w:val="1E293B"/>
          <w:sz w:val="22"/>
          <w:szCs w:val="22"/>
        </w:rPr>
        <w:t xml:space="preserve">Untuk aset tidak bergerak yang mengalami kerusakan akibat bencana atau sebab lain di luar kendali nazhir, dokumentasi kondisi aset sejak awal (misalnya melalui foto, laporan penilaian berkala, dan laporan asuransi jika ada) menjadi penting sebagai dasar pengungkapan maupun sebagai dasar pertimbangan bila diperlukan penggantian aset melalui mekanisme ruislag sesuai PP No. 42/2006 jo. PP No. 25/2018.</w:t>
      </w:r>
    </w:p>
    <w:p>
      <w:pPr>
        <w:pStyle w:val="Heading3"/>
        <w:spacing w:after="120" w:before="240"/>
      </w:pPr>
      <w:r>
        <w:rPr>
          <w:rFonts w:ascii="Calibri" w:cs="Calibri" w:eastAsia="Calibri" w:hAnsi="Calibri"/>
          <w:b/>
          <w:bCs/>
          <w:color w:val="065F46"/>
          <w:sz w:val="24"/>
          <w:szCs w:val="24"/>
        </w:rPr>
        <w:t xml:space="preserve">Dokumentasi Pendukung Pengakuan Aset</w:t>
      </w:r>
    </w:p>
    <w:p>
      <w:pPr>
        <w:spacing w:after="200" w:line="300"/>
        <w:jc w:val="both"/>
      </w:pPr>
      <w:r>
        <w:rPr>
          <w:rFonts w:ascii="Calibri" w:cs="Calibri" w:eastAsia="Calibri" w:hAnsi="Calibri"/>
          <w:color w:val="1E293B"/>
          <w:sz w:val="22"/>
          <w:szCs w:val="22"/>
        </w:rPr>
        <w:t xml:space="preserve">Pengakuan aset wakaf harus didukung dokumentasi yang memadai agar dapat diverifikasi oleh auditor maupun BWI. Untuk wakaf uang, dokumen pendukung berupa bukti setor melalui LKS-PWU dan Akta Ikrar Wakaf (AIW) atau Akta Pengganti Akta Ikrar Wakaf (APAIW). Untuk aset tidak bergerak, dokumen pendukung meliputi sertifikat wakaf yang diterbitkan sesuai ketentuan Peraturan Pemerintah Nomor 42 Tahun 2006 jo. Peraturan Pemerintah Nomor 25 Tahun 2018, laporan penilaian independen, serta dokumen kepemilikan tanah/bangunan sebelum peralihan. Untuk aset bergerak lain, dokumen pendukung mencakup bukti kepemilikan dan bukti penilaian nilai wajar pada tanggal penyerahan.</w:t>
      </w:r>
    </w:p>
    <w:p>
      <w:pPr>
        <w:pStyle w:val="Heading3"/>
        <w:spacing w:after="120" w:before="240"/>
      </w:pPr>
      <w:r>
        <w:rPr>
          <w:rFonts w:ascii="Calibri" w:cs="Calibri" w:eastAsia="Calibri" w:hAnsi="Calibri"/>
          <w:b/>
          <w:bCs/>
          <w:color w:val="065F46"/>
          <w:sz w:val="24"/>
          <w:szCs w:val="24"/>
        </w:rPr>
        <w:t xml:space="preserve">Wakaf Saham sebagai Bentuk Aset Wakaf Bergerak</w:t>
      </w:r>
    </w:p>
    <w:p>
      <w:pPr>
        <w:spacing w:after="200" w:line="300"/>
        <w:jc w:val="both"/>
      </w:pPr>
      <w:r>
        <w:rPr>
          <w:rFonts w:ascii="Calibri" w:cs="Calibri" w:eastAsia="Calibri" w:hAnsi="Calibri"/>
          <w:color w:val="1E293B"/>
          <w:sz w:val="22"/>
          <w:szCs w:val="22"/>
        </w:rPr>
        <w:t xml:space="preserve">Perkembangan pasar modal syariah di Indonesia turut melahirkan bentuk wakaf produktif baru berupa wakaf saham. Berdasarkan praktik yang difasilitasi Bursa Efek Indonesia, tidak seluruh saham dapat diwakafkan; saham yang dapat menjadi objek wakaf terbatas pada saham syariah yang tercatat di Bursa Efek Indonesia dan termasuk dalam Indeks Saham Syariah Indonesia (ISSI). Objek wakaf saham dapat berupa saham syariah itu sendiri yang dipindahkan dari portofolio investor ke portofolio nazhir melalui perusahaan efek/anggota bursa, maupun berupa keuntungan investasi dari saham syariah, baik capital gain maupun dividen, sementara pokok sahamnya tetap berada pada investor.</w:t>
      </w:r>
    </w:p>
    <w:p>
      <w:pPr>
        <w:spacing w:after="200" w:line="300"/>
        <w:jc w:val="both"/>
      </w:pPr>
      <w:r>
        <w:rPr>
          <w:rFonts w:ascii="Calibri" w:cs="Calibri" w:eastAsia="Calibri" w:hAnsi="Calibri"/>
          <w:color w:val="1E293B"/>
          <w:sz w:val="22"/>
          <w:szCs w:val="22"/>
        </w:rPr>
        <w:t xml:space="preserve">Dari sisi akuntansi, wakaf saham diperlakukan sebagai aset wakaf bergerak yang diukur pada pengakuan awal sebesar nilai wajar, yaitu harga pasar saham syariah tersebut pada tanggal pemindahan atau pada tanggal keuntungan investasi diserahkan sebagai wakaf. Entitas wakaf perlu mencatat perubahan nilai wajar saham secara berkala apabila kebijakan akuntansi entitas mengharuskan pengukuran ulang (remeasurement), dan mengungkapkan dasar penentuan harga pasar yang digunakan pada catatan atas laporan keuangan.</w:t>
      </w:r>
    </w:p>
    <w:p>
      <w:pPr>
        <w:spacing w:after="120" w:before="200"/>
      </w:pPr>
      <w:r>
        <w:rPr>
          <w:rFonts w:ascii="Calibri" w:cs="Calibri" w:eastAsia="Calibri" w:hAnsi="Calibri"/>
          <w:b/>
          <w:bCs/>
          <w:color w:val="065F46"/>
          <w:sz w:val="22"/>
          <w:szCs w:val="22"/>
        </w:rPr>
        <w:t xml:space="preserve">Ringkasan Dasar Pengukuran Aset Wakaf pada Pengakuan Awal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3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Aspek</w:t>
            </w:r>
          </w:p>
        </w:tc>
        <w:tc>
          <w:tcPr>
            <w:tcW w:type="pct" w:w="6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Keterangan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Wakaf uang</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Nilai nominal yang diserahkan wakif melalui LKS-PWU</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Aset tidak bergerak (tanah, bangunan)</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Nilai wajar pada tanggal penyerahan, umumnya berbasis penilaian independen/NJOP</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bergerak lain (logam mulia, efek, kendaraan, HKI, hak sewa)</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Nilai wajar pada tanggal penyerahan, berbasis harga pasar atau estimasi terbaik</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Hasil pengelolaan/pengembangan aset wakaf</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Sebesar nilai yang diperoleh, diakui sebagai penambah aset wakaf</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Aset wakaf diakui saat pengalihan hukum dan pengalihan manfaat ekonomis kepada entitas wakaf telah terjadi bersamaan.</w:t>
            </w:r>
          </w:p>
          <w:p>
            <w:pPr>
              <w:pStyle w:val="ListParagraph"/>
              <w:numPr>
                <w:ilvl w:val="0"/>
                <w:numId w:val="1"/>
              </w:numPr>
              <w:spacing w:after="80"/>
            </w:pPr>
            <w:r>
              <w:rPr>
                <w:rFonts w:ascii="Calibri" w:cs="Calibri" w:eastAsia="Calibri" w:hAnsi="Calibri"/>
                <w:color w:val="1E293B"/>
                <w:sz w:val="21"/>
                <w:szCs w:val="21"/>
              </w:rPr>
              <w:t xml:space="preserve">Wakaf uang diukur sebesar nilai nominal; aset tidak bergerak dan aset bergerak lain diukur sebesar nilai wajar pada tanggal penyerahan.</w:t>
            </w:r>
          </w:p>
          <w:p>
            <w:pPr>
              <w:pStyle w:val="ListParagraph"/>
              <w:numPr>
                <w:ilvl w:val="0"/>
                <w:numId w:val="1"/>
              </w:numPr>
              <w:spacing w:after="80"/>
            </w:pPr>
            <w:r>
              <w:rPr>
                <w:rFonts w:ascii="Calibri" w:cs="Calibri" w:eastAsia="Calibri" w:hAnsi="Calibri"/>
                <w:color w:val="1E293B"/>
                <w:sz w:val="21"/>
                <w:szCs w:val="21"/>
              </w:rPr>
              <w:t xml:space="preserve">Hasil pengelolaan dan pengembangan aset wakaf menambah nilai aset wakaf, bukan menjadi pendapatan nazhir selaku badan hukum.</w:t>
            </w:r>
          </w:p>
        </w:tc>
      </w:tr>
    </w:tbl>
    <w:p>
      <w:pPr>
        <w:pageBreakBefore/>
        <w:spacing w:after="80"/>
      </w:pPr>
      <w:r>
        <w:rPr>
          <w:rFonts w:ascii="Calibri" w:cs="Calibri" w:eastAsia="Calibri" w:hAnsi="Calibri"/>
          <w:b/>
          <w:bCs/>
          <w:caps/>
          <w:color w:val="64748B"/>
          <w:sz w:val="22"/>
          <w:szCs w:val="22"/>
        </w:rPr>
        <w:t xml:space="preserve">BAB 5</w:t>
      </w:r>
    </w:p>
    <w:p>
      <w:pPr>
        <w:pStyle w:val="Heading1"/>
        <w:spacing w:after="400" w:before="200"/>
      </w:pPr>
      <w:r>
        <w:rPr>
          <w:rFonts w:ascii="Calibri" w:cs="Calibri" w:eastAsia="Calibri" w:hAnsi="Calibri"/>
          <w:b/>
          <w:bCs/>
          <w:color w:val="065F46"/>
          <w:sz w:val="40"/>
          <w:szCs w:val="40"/>
        </w:rPr>
        <w:t xml:space="preserve">Akuntansi bagi Nazhir dibandingkan Akuntansi bagi Wakif</w:t>
      </w:r>
    </w:p>
    <w:p>
      <w:pPr>
        <w:spacing w:after="200" w:line="300"/>
        <w:jc w:val="both"/>
      </w:pPr>
      <w:r>
        <w:rPr>
          <w:rFonts w:ascii="Calibri" w:cs="Calibri" w:eastAsia="Calibri" w:hAnsi="Calibri"/>
          <w:color w:val="1E293B"/>
          <w:sz w:val="22"/>
          <w:szCs w:val="22"/>
        </w:rPr>
        <w:t xml:space="preserve">PSAK 412 mengatur perlakuan akuntansi dari dua sudut pandang yang berbeda: nazhir sebagai pengelola wakaf, dan wakif sebagai pemberi wakaf. Kedua sudut pandang ini tidak boleh dipertukarkan karena memiliki dasar pengakuan yang berbeda.</w:t>
      </w:r>
    </w:p>
    <w:p>
      <w:pPr>
        <w:pStyle w:val="Heading3"/>
        <w:spacing w:after="120" w:before="240"/>
      </w:pPr>
      <w:r>
        <w:rPr>
          <w:rFonts w:ascii="Calibri" w:cs="Calibri" w:eastAsia="Calibri" w:hAnsi="Calibri"/>
          <w:b/>
          <w:bCs/>
          <w:color w:val="065F46"/>
          <w:sz w:val="24"/>
          <w:szCs w:val="24"/>
        </w:rPr>
        <w:t xml:space="preserve">Perspektif Nazhir</w:t>
      </w:r>
    </w:p>
    <w:p>
      <w:pPr>
        <w:spacing w:after="200" w:line="300"/>
        <w:jc w:val="both"/>
      </w:pPr>
      <w:r>
        <w:rPr>
          <w:rFonts w:ascii="Calibri" w:cs="Calibri" w:eastAsia="Calibri" w:hAnsi="Calibri"/>
          <w:color w:val="1E293B"/>
          <w:sz w:val="22"/>
          <w:szCs w:val="22"/>
        </w:rPr>
        <w:t xml:space="preserve">Bagi nazhir, penerimaan aset wakaf permanen dicatat sebagai penambah aset neto entitas wakaf, bukan sebagai pendapatan badan hukum nazhir. Nazhir berhak memperoleh imbalan pengelolaan (ujrah atau hak amil) yang besarannya diatur dalam peraturan perundang-undangan dan/atau kebijakan Badan Wakaf Indonesia, yang diakui sebagai pendapatan pada laporan keuangan badan hukum nazhir itu sendiri — terpisah dari laporan keuangan entitas wakaf — sekaligus menjadi bagian pengurang penghasilan pada laporan aktivitas entitas wakaf.</w:t>
      </w:r>
    </w:p>
    <w:p>
      <w:pPr>
        <w:spacing w:after="200" w:line="300"/>
        <w:jc w:val="both"/>
      </w:pPr>
      <w:r>
        <w:rPr>
          <w:rFonts w:ascii="Calibri" w:cs="Calibri" w:eastAsia="Calibri" w:hAnsi="Calibri"/>
          <w:color w:val="1E293B"/>
          <w:sz w:val="22"/>
          <w:szCs w:val="22"/>
        </w:rPr>
        <w:t xml:space="preserve">Pemisahan pencatatan ini penting agar tidak terjadi pencampuran antara kekayaan operasional nazhir dan aset wakaf yang dikelolanya, sejalan dengan prinsip tidak dikonsolidasi yang dibahas pada Bab 3.</w:t>
      </w:r>
    </w:p>
    <w:p>
      <w:pPr>
        <w:pStyle w:val="Heading3"/>
        <w:spacing w:after="120" w:before="240"/>
      </w:pPr>
      <w:r>
        <w:rPr>
          <w:rFonts w:ascii="Calibri" w:cs="Calibri" w:eastAsia="Calibri" w:hAnsi="Calibri"/>
          <w:b/>
          <w:bCs/>
          <w:color w:val="065F46"/>
          <w:sz w:val="24"/>
          <w:szCs w:val="24"/>
        </w:rPr>
        <w:t xml:space="preserve">Wakaf Temporer pada Entitas Wakaf: Diakui sebagai Liabilitas</w:t>
      </w:r>
    </w:p>
    <w:p>
      <w:pPr>
        <w:spacing w:after="200" w:line="300"/>
        <w:jc w:val="both"/>
      </w:pPr>
      <w:r>
        <w:rPr>
          <w:rFonts w:ascii="Calibri" w:cs="Calibri" w:eastAsia="Calibri" w:hAnsi="Calibri"/>
          <w:color w:val="1E293B"/>
          <w:sz w:val="22"/>
          <w:szCs w:val="22"/>
        </w:rPr>
        <w:t xml:space="preserve">Ketentuan resmi PSAK 412 menegaskan bahwa wakaf dengan jangka waktu tertentu (wakaf temporer) diakui sebagai liabilitas pada laporan keuangan entitas wakaf, bukan sebagai bagian aset neto. Perlakuan ini mencerminkan bahwa entitas wakaf memikul kewajiban mengelola dan pada akhirnya mempertanggungjawabkan aset wakaf temporer tersebut sesuai jangka waktu dan kesepakatan yang dituangkan dalam Akta Ikrar Wakaf, sehingga secara substansi ekonomi lebih dekat ke sifat liabilitas dibandingkan kepemilikan permanen entitas wakaf.</w:t>
      </w:r>
    </w:p>
    <w:p>
      <w:pPr>
        <w:spacing w:after="200" w:line="300"/>
        <w:jc w:val="both"/>
      </w:pPr>
      <w:r>
        <w:rPr>
          <w:rFonts w:ascii="Calibri" w:cs="Calibri" w:eastAsia="Calibri" w:hAnsi="Calibri"/>
          <w:color w:val="1E293B"/>
          <w:sz w:val="22"/>
          <w:szCs w:val="22"/>
        </w:rPr>
        <w:t xml:space="preserve">Ruang lingkup wakaf temporer menurut PSAK 412 dibatasi hanya pada wakaf berupa uang; DSAS-IAI memutuskan untuk tidak memperluas ruang lingkup wakaf temporer ke aset non-kas lain karena kerumitan pengukuran ulang yang dapat timbul, misalnya perubahan fisik dan nilai pada wakaf lahan perkebunan temporer, atau perubahan nilai wajar saham temporer di antara periode penerimaan dan pengembalian. Akibatnya, wakaf tidak bergerak maupun aset bergerak non-kas lain yang diserahkan wakif pada dasarnya diperlakukan sebagai wakaf permanen dalam ruang lingkup PSAK 412, sekalipun secara hukum wakaf sebenarnya dapat pula bersifat temporer atas jenis aset tersebut menurut Undang-Undang Nomor 41 Tahun 2004.</w:t>
      </w:r>
    </w:p>
    <w:p>
      <w:pPr>
        <w:pStyle w:val="Heading3"/>
        <w:spacing w:after="120" w:before="240"/>
      </w:pPr>
      <w:r>
        <w:rPr>
          <w:rFonts w:ascii="Calibri" w:cs="Calibri" w:eastAsia="Calibri" w:hAnsi="Calibri"/>
          <w:b/>
          <w:bCs/>
          <w:color w:val="065F46"/>
          <w:sz w:val="24"/>
          <w:szCs w:val="24"/>
        </w:rPr>
        <w:t xml:space="preserve">Batas Maksimal Ujrah Nazhir: Ketentuan 10% dari Hasil Bersih</w:t>
      </w:r>
    </w:p>
    <w:p>
      <w:pPr>
        <w:spacing w:after="200" w:line="300"/>
        <w:jc w:val="both"/>
      </w:pPr>
      <w:r>
        <w:rPr>
          <w:rFonts w:ascii="Calibri" w:cs="Calibri" w:eastAsia="Calibri" w:hAnsi="Calibri"/>
          <w:color w:val="1E293B"/>
          <w:sz w:val="22"/>
          <w:szCs w:val="22"/>
        </w:rPr>
        <w:t xml:space="preserve">Pasal 12 Undang-Undang Nomor 41 Tahun 2004 tentang Wakaf menetapkan bahwa dalam melaksanakan tugasnya, nazhir dapat menerima imbalan dari hasil bersih atas pengelolaan dan pengembangan harta benda wakaf, dengan besaran yang tidak melebihi 10% (sepuluh persen). Ketentuan ini dirinci lebih lanjut oleh Pasal 23 ayat (1) Peraturan Badan Wakaf Indonesia Nomor 1 Tahun 2020, yang menyatakan bahwa hasil bersih yang menjadi dasar penghitungan imbalan nazhir adalah hasil pengelolaan wakaf setelah dikurangi biaya yang terkait dengan pengelolaan dan pengembangan wakaf. Pasal 23 ayat (2) peraturan yang sama merinci pembagian hasil bersih tersebut: nazhir maksimal 10%, mauquf 'alaih minimal 50%, dan sisanya sebagai cadangan.</w:t>
      </w:r>
    </w:p>
    <w:p>
      <w:pPr>
        <w:spacing w:after="200" w:line="300"/>
        <w:jc w:val="both"/>
      </w:pPr>
      <w:r>
        <w:rPr>
          <w:rFonts w:ascii="Calibri" w:cs="Calibri" w:eastAsia="Calibri" w:hAnsi="Calibri"/>
          <w:color w:val="1E293B"/>
          <w:sz w:val="22"/>
          <w:szCs w:val="22"/>
        </w:rPr>
        <w:t xml:space="preserve">Poin yang perlu ditegaskan kepada staf akuntansi maupun wakif adalah bahwa batas 10% tersebut dihitung dari hasil bersih pengelolaan (surplus setelah biaya operasional dan pemeliharaan), bukan dari nilai pokok aset wakaf itu sendiri. Berbeda dari kesan bahwa pelanggaran batas ini semata bersifat administratif, Pasal 67 ayat (3) Undang-Undang Nomor 41 Tahun 2004 juncto ketentuan pidana yang berlaku menetapkan bahwa nazhir yang dengan sengaja mengambil imbalan melebihi batas yang ditentukan dapat dikenai sanksi pidana penjara dan/atau denda. Ketentuan pidana ini menegaskan bahwa disiplin akuntansi dalam menghitung dan membatasi ujrah nazhir bukan sekadar praktik tata kelola yang baik, melainkan juga kepatuhan hukum yang wajib dijaga.</w:t>
      </w:r>
    </w:p>
    <w:p>
      <w:pPr>
        <w:pStyle w:val="Heading3"/>
        <w:spacing w:after="120" w:before="240"/>
      </w:pPr>
      <w:r>
        <w:rPr>
          <w:rFonts w:ascii="Calibri" w:cs="Calibri" w:eastAsia="Calibri" w:hAnsi="Calibri"/>
          <w:b/>
          <w:bCs/>
          <w:color w:val="065F46"/>
          <w:sz w:val="24"/>
          <w:szCs w:val="24"/>
        </w:rPr>
        <w:t xml:space="preserve">Perspektif Wakif — Wakaf Permanen</w:t>
      </w:r>
    </w:p>
    <w:p>
      <w:pPr>
        <w:spacing w:after="200" w:line="300"/>
        <w:jc w:val="both"/>
      </w:pPr>
      <w:r>
        <w:rPr>
          <w:rFonts w:ascii="Calibri" w:cs="Calibri" w:eastAsia="Calibri" w:hAnsi="Calibri"/>
          <w:color w:val="1E293B"/>
          <w:sz w:val="22"/>
          <w:szCs w:val="22"/>
        </w:rPr>
        <w:t xml:space="preserve">Bagi wakif berbadan hukum yang menyerahkan wakaf secara permanen (abadi), penyerahan aset wakaf diakui sebagai beban dalam laporan laba rugi pada periode terjadinya penyerahan, dan aset yang diserahkan tersebut dihentikan pengakuannya (derecognized) dari laporan keuangan wakif. Perlakuan ini mencerminkan bahwa wakif telah melepaskan hak kepemilikannya secara permanen atas harta yang diwakafkan.</w:t>
      </w:r>
    </w:p>
    <w:p>
      <w:pPr>
        <w:pStyle w:val="Heading3"/>
        <w:spacing w:after="120" w:before="240"/>
      </w:pPr>
      <w:r>
        <w:rPr>
          <w:rFonts w:ascii="Calibri" w:cs="Calibri" w:eastAsia="Calibri" w:hAnsi="Calibri"/>
          <w:b/>
          <w:bCs/>
          <w:color w:val="065F46"/>
          <w:sz w:val="24"/>
          <w:szCs w:val="24"/>
        </w:rPr>
        <w:t xml:space="preserve">Perspektif Wakif — Wakaf Temporer</w:t>
      </w:r>
    </w:p>
    <w:p>
      <w:pPr>
        <w:spacing w:after="200" w:line="300"/>
        <w:jc w:val="both"/>
      </w:pPr>
      <w:r>
        <w:rPr>
          <w:rFonts w:ascii="Calibri" w:cs="Calibri" w:eastAsia="Calibri" w:hAnsi="Calibri"/>
          <w:color w:val="1E293B"/>
          <w:sz w:val="22"/>
          <w:szCs w:val="22"/>
        </w:rPr>
        <w:t xml:space="preserve">Untuk wakaf temporer, yaitu wakaf yang diserahkan untuk jangka waktu tertentu sesuai kepentingan wakif sebagaimana dimungkinkan oleh Undang-Undang Nomor 41 Tahun 2004, wakif tidak menghentikan pengakuan atas aset yang diserahkan. Aset tersebut tetap dicatat sebagai aset wakif, namun disajikan sebagai aset yang dibatasi penggunaannya (restricted use) selama masa wakaf berlangsung, dan belum diakui sebagai beban karena hak kepemilikan belum sepenuhnya dilepaskan secara permanen.</w:t>
      </w:r>
    </w:p>
    <w:p>
      <w:pPr>
        <w:spacing w:after="200" w:line="300"/>
        <w:jc w:val="both"/>
      </w:pPr>
      <w:r>
        <w:rPr>
          <w:rFonts w:ascii="Calibri" w:cs="Calibri" w:eastAsia="Calibri" w:hAnsi="Calibri"/>
          <w:color w:val="1E293B"/>
          <w:sz w:val="22"/>
          <w:szCs w:val="22"/>
        </w:rPr>
        <w:t xml:space="preserve">Contoh yang relevan bagi entitas keuangan syariah, termasuk BPRS, adalah skema wakaf uang temporer yang dihimpun secara berkala melalui LKS-PWU: wakif korporasi dapat menyerahkan wakaf uang untuk jangka waktu tertentu sebagai bagian dari program tanggung jawab sosial atau pengelolaan dana sosial keagamaan, dengan tetap mengakui aset tersebut sebagai miliknya yang dibatasi penggunaannya selama periode wakaf berjalan.</w:t>
      </w:r>
    </w:p>
    <w:p>
      <w:pPr>
        <w:pStyle w:val="Heading3"/>
        <w:spacing w:after="120" w:before="240"/>
      </w:pPr>
      <w:r>
        <w:rPr>
          <w:rFonts w:ascii="Calibri" w:cs="Calibri" w:eastAsia="Calibri" w:hAnsi="Calibri"/>
          <w:b/>
          <w:bCs/>
          <w:color w:val="065F46"/>
          <w:sz w:val="24"/>
          <w:szCs w:val="24"/>
        </w:rPr>
        <w:t xml:space="preserve">Menghindari Kekeliruan Umum</w:t>
      </w:r>
    </w:p>
    <w:p>
      <w:pPr>
        <w:spacing w:after="200" w:line="300"/>
        <w:jc w:val="both"/>
      </w:pPr>
      <w:r>
        <w:rPr>
          <w:rFonts w:ascii="Calibri" w:cs="Calibri" w:eastAsia="Calibri" w:hAnsi="Calibri"/>
          <w:color w:val="1E293B"/>
          <w:sz w:val="22"/>
          <w:szCs w:val="22"/>
        </w:rPr>
        <w:t xml:space="preserve">Kekeliruan yang kerap terjadi di lapangan adalah menyamakan seluruh penyerahan wakaf sebagai beban pada saat penyerahan, tanpa membedakan sifat permanen atau temporernya. Auditor internal maupun staf akuntansi perlu memastikan dokumen ikrar wakaf secara eksplisit menyatakan jangka waktu wakaf, karena dokumen inilah yang menjadi dasar penentuan perlakuan akuntansi yang tepat di sisi wakif.</w:t>
      </w:r>
    </w:p>
    <w:p>
      <w:pPr>
        <w:pStyle w:val="Heading3"/>
        <w:spacing w:after="120" w:before="240"/>
      </w:pPr>
      <w:r>
        <w:rPr>
          <w:rFonts w:ascii="Calibri" w:cs="Calibri" w:eastAsia="Calibri" w:hAnsi="Calibri"/>
          <w:b/>
          <w:bCs/>
          <w:color w:val="065F46"/>
          <w:sz w:val="24"/>
          <w:szCs w:val="24"/>
        </w:rPr>
        <w:t xml:space="preserve">Pengungkapan Ujrah/Hak Amil pada Catatan Laporan Keuangan</w:t>
      </w:r>
    </w:p>
    <w:p>
      <w:pPr>
        <w:spacing w:after="200" w:line="300"/>
        <w:jc w:val="both"/>
      </w:pPr>
      <w:r>
        <w:rPr>
          <w:rFonts w:ascii="Calibri" w:cs="Calibri" w:eastAsia="Calibri" w:hAnsi="Calibri"/>
          <w:color w:val="1E293B"/>
          <w:sz w:val="22"/>
          <w:szCs w:val="22"/>
        </w:rPr>
        <w:t xml:space="preserve">Besaran ujrah/hak amil yang diperoleh nazhir dari pengelolaan wakaf perlu diungkapkan secara transparan pada catatan atas laporan keuangan, baik pada laporan keuangan entitas wakaf (sebagai beban pengurang aset neto) maupun pada laporan keuangan badan hukum nazhir (sebagai pendapatan). Pengungkapan ini mencakup dasar perhitungan ujrah, misalnya persentase dari hasil pengelolaan, serta kebijakan atau peraturan yang menjadi acuan penetapan besaran tersebut. Transparansi ini penting agar wakif dan pemangku kepentingan lain dapat menilai kewajaran imbalan yang diterima nazhir dibandingkan dengan manfaat yang disalurkan kepada mauquf ‘alaih.</w:t>
      </w:r>
    </w:p>
    <w:p>
      <w:pPr>
        <w:pStyle w:val="Heading3"/>
        <w:spacing w:after="120" w:before="240"/>
      </w:pPr>
      <w:r>
        <w:rPr>
          <w:rFonts w:ascii="Calibri" w:cs="Calibri" w:eastAsia="Calibri" w:hAnsi="Calibri"/>
          <w:b/>
          <w:bCs/>
          <w:color w:val="065F46"/>
          <w:sz w:val="24"/>
          <w:szCs w:val="24"/>
        </w:rPr>
        <w:t xml:space="preserve">Ilustrasi Naratif Perbandingan Perlakuan</w:t>
      </w:r>
    </w:p>
    <w:p>
      <w:pPr>
        <w:spacing w:after="200" w:line="300"/>
        <w:jc w:val="both"/>
      </w:pPr>
      <w:r>
        <w:rPr>
          <w:rFonts w:ascii="Calibri" w:cs="Calibri" w:eastAsia="Calibri" w:hAnsi="Calibri"/>
          <w:color w:val="1E293B"/>
          <w:sz w:val="22"/>
          <w:szCs w:val="22"/>
        </w:rPr>
        <w:t xml:space="preserve">Ilustrasi Hipotetis: Sebuah yayasan (wakif berbadan hukum) menyerahkan dua jenis wakaf kepada nazhir yang sama pada tahun yang sama — sebidang tanah sebagai wakaf permanen untuk pembangunan sekolah, dan dana tunai sebagai wakaf temporer selama tiga tahun untuk mendukung operasional klinik kesehatan. Pada laporan keuangan yayasan tersebut selaku wakif, penyerahan tanah dicatat sebagai beban dan tanah dihentikan pengakuannya, sedangkan dana tunai wakaf temporer tetap dicatat sebagai aset yayasan yang dibatasi penggunaannya selama tiga tahun, baru kemudian direklasifikasi atau diakui sebagai beban setelah jangka waktu wakaf berakhir dan wakaf tersebut menjadi permanen atau ditarik kembali sesuai kesepakatan awal yang dituangkan dalam Akta Ikrar Wakaf.</w:t>
      </w:r>
    </w:p>
    <w:p>
      <w:pPr>
        <w:spacing w:after="120" w:before="200"/>
      </w:pPr>
      <w:r>
        <w:rPr>
          <w:rFonts w:ascii="Calibri" w:cs="Calibri" w:eastAsia="Calibri" w:hAnsi="Calibri"/>
          <w:b/>
          <w:bCs/>
          <w:color w:val="065F46"/>
          <w:sz w:val="22"/>
          <w:szCs w:val="22"/>
        </w:rPr>
        <w:t xml:space="preserve">Perbandingan Perlakuan Akuntansi Wakaf Temporer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3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Aspek</w:t>
            </w:r>
          </w:p>
        </w:tc>
        <w:tc>
          <w:tcPr>
            <w:tcW w:type="pct" w:w="6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Keterangan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Wakif — wakaf permanen</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Diakui sebagai beban pada laporan laba rugi; aset dihentikan pengakuannya (derecognition)</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Wakif — wakaf temporer</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Aset tetap diakui milik wakif, disajikan sebagai aset dibatasi penggunaannya; tidak dihentikan pengakuannya</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Entitas wakaf — wakaf temporer (khusus uang)</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Diakui sebagai liabilitas jangka pendek/panjang, bukan bagian aset neto</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Nazhir mencatat penerimaan wakaf permanen sebagai penambah aset neto entitas wakaf, dengan ujrah/hak amil diakui sebagai pendapatan pada laporan keuangan badan hukum nazhir secara terpisah, dibatasi maksimal 10% dari hasil bersih pengelolaan.</w:t>
            </w:r>
          </w:p>
          <w:p>
            <w:pPr>
              <w:pStyle w:val="ListParagraph"/>
              <w:numPr>
                <w:ilvl w:val="0"/>
                <w:numId w:val="1"/>
              </w:numPr>
              <w:spacing w:after="80"/>
            </w:pPr>
            <w:r>
              <w:rPr>
                <w:rFonts w:ascii="Calibri" w:cs="Calibri" w:eastAsia="Calibri" w:hAnsi="Calibri"/>
                <w:color w:val="1E293B"/>
                <w:sz w:val="21"/>
                <w:szCs w:val="21"/>
              </w:rPr>
              <w:t xml:space="preserve">Wakaf temporer (terbatas pada wakaf uang) diakui sebagai liabilitas pada laporan keuangan entitas wakaf, sementara pada laporan keuangan wakif tetap diakui sebagai aset dibatasi penggunaannya dan tidak dihentikan pengakuannya.</w:t>
            </w:r>
          </w:p>
          <w:p>
            <w:pPr>
              <w:pStyle w:val="ListParagraph"/>
              <w:numPr>
                <w:ilvl w:val="0"/>
                <w:numId w:val="1"/>
              </w:numPr>
              <w:spacing w:after="80"/>
            </w:pPr>
            <w:r>
              <w:rPr>
                <w:rFonts w:ascii="Calibri" w:cs="Calibri" w:eastAsia="Calibri" w:hAnsi="Calibri"/>
                <w:color w:val="1E293B"/>
                <w:sz w:val="21"/>
                <w:szCs w:val="21"/>
              </w:rPr>
              <w:t xml:space="preserve">Dokumen ikrar wakaf yang menyatakan jangka waktu secara eksplisit menjadi dasar penentuan perlakuan akuntansi yang tepat, baik di sisi wakif maupun di sisi entitas wakaf.</w:t>
            </w:r>
          </w:p>
        </w:tc>
      </w:tr>
    </w:tbl>
    <w:p>
      <w:pPr>
        <w:pageBreakBefore/>
        <w:spacing w:after="80"/>
      </w:pPr>
      <w:r>
        <w:rPr>
          <w:rFonts w:ascii="Calibri" w:cs="Calibri" w:eastAsia="Calibri" w:hAnsi="Calibri"/>
          <w:b/>
          <w:bCs/>
          <w:caps/>
          <w:color w:val="64748B"/>
          <w:sz w:val="22"/>
          <w:szCs w:val="22"/>
        </w:rPr>
        <w:t xml:space="preserve">BAB 6</w:t>
      </w:r>
    </w:p>
    <w:p>
      <w:pPr>
        <w:pStyle w:val="Heading1"/>
        <w:spacing w:after="400" w:before="200"/>
      </w:pPr>
      <w:r>
        <w:rPr>
          <w:rFonts w:ascii="Calibri" w:cs="Calibri" w:eastAsia="Calibri" w:hAnsi="Calibri"/>
          <w:b/>
          <w:bCs/>
          <w:color w:val="065F46"/>
          <w:sz w:val="40"/>
          <w:szCs w:val="40"/>
        </w:rPr>
        <w:t xml:space="preserve">Komponen Laporan Keuangan Entitas Wakaf: Posisi Keuangan, Aktivitas, Arus Kas, dan Rincian Aset</w:t>
      </w:r>
    </w:p>
    <w:p>
      <w:pPr>
        <w:spacing w:after="200" w:line="300"/>
        <w:jc w:val="both"/>
      </w:pPr>
      <w:r>
        <w:rPr>
          <w:rFonts w:ascii="Calibri" w:cs="Calibri" w:eastAsia="Calibri" w:hAnsi="Calibri"/>
          <w:color w:val="1E293B"/>
          <w:sz w:val="22"/>
          <w:szCs w:val="22"/>
        </w:rPr>
        <w:t xml:space="preserve">PSAK 412 menetapkan seperangkat laporan keuangan lengkap bagi entitas wakaf, salah satunya bersifat khas dan tidak ditemukan pada standar akuntansi lain, yaitu laporan rincian aset wakaf. Struktur pada bab ini merujuk pada materi sosialisasi resmi Dewan Standar Akuntansi Syariah–Ikatan Akuntan Indonesia (DSAS-IAI) atas PSAK 412.</w:t>
      </w:r>
    </w:p>
    <w:p>
      <w:pPr>
        <w:pStyle w:val="Heading3"/>
        <w:spacing w:after="120" w:before="240"/>
      </w:pPr>
      <w:r>
        <w:rPr>
          <w:rFonts w:ascii="Calibri" w:cs="Calibri" w:eastAsia="Calibri" w:hAnsi="Calibri"/>
          <w:b/>
          <w:bCs/>
          <w:color w:val="065F46"/>
          <w:sz w:val="24"/>
          <w:szCs w:val="24"/>
        </w:rPr>
        <w:t xml:space="preserve">Laporan Posisi Keuangan</w:t>
      </w:r>
    </w:p>
    <w:p>
      <w:pPr>
        <w:spacing w:after="200" w:line="300"/>
        <w:jc w:val="both"/>
      </w:pPr>
      <w:r>
        <w:rPr>
          <w:rFonts w:ascii="Calibri" w:cs="Calibri" w:eastAsia="Calibri" w:hAnsi="Calibri"/>
          <w:color w:val="1E293B"/>
          <w:sz w:val="22"/>
          <w:szCs w:val="22"/>
        </w:rPr>
        <w:t xml:space="preserve">Laporan posisi keuangan entitas wakaf mengelompokkan aset menjadi aset lancar (antara lain kas dan setara kas, piutang, surat berharga, dan logam mulia) dan aset tidak lancar (antara lain surat berharga jangka panjang, investasi pada entitas lain, aset tetap, dan aset takberwujud), mengikuti klasifikasi lancar/tidak lancar sebagaimana lazim pada laporan posisi keuangan.</w:t>
      </w:r>
    </w:p>
    <w:p>
      <w:pPr>
        <w:spacing w:after="200" w:line="300"/>
        <w:jc w:val="both"/>
      </w:pPr>
      <w:r>
        <w:rPr>
          <w:rFonts w:ascii="Calibri" w:cs="Calibri" w:eastAsia="Calibri" w:hAnsi="Calibri"/>
          <w:color w:val="1E293B"/>
          <w:sz w:val="22"/>
          <w:szCs w:val="22"/>
        </w:rPr>
        <w:t xml:space="preserve">Pada sisi liabilitas, poin yang perlu ditegaskan adalah bahwa wakaf temporer (wakaf berjangka waktu, yang ruang lingkupnya menurut PSAK 412 dibatasi hanya pada wakaf uang) diakui sebagai liabilitas entitas wakaf, bukan sebagai bagian aset neto. Wakaf temporer disajikan sebagai liabilitas jangka pendek atau liabilitas jangka panjang tergantung sisa jangka waktu wakaf pada tanggal pelaporan, karena entitas wakaf pada dasarnya memiliki kewajiban mengelola dan pada akhirnya mempertanggungjawabkan aset tersebut sesuai jangka waktu yang disepakati. Aset neto wakaf pada laporan posisi keuangan disajikan sebagai satu pos tunggal, mencerminkan bagian yang benar-benar telah menjadi milik permanen entitas wakaf setelah dikurangi liabilitas termasuk liabilitas wakaf temporer.</w:t>
      </w:r>
    </w:p>
    <w:p>
      <w:pPr>
        <w:pStyle w:val="Heading3"/>
        <w:spacing w:after="120" w:before="240"/>
      </w:pPr>
      <w:r>
        <w:rPr>
          <w:rFonts w:ascii="Calibri" w:cs="Calibri" w:eastAsia="Calibri" w:hAnsi="Calibri"/>
          <w:b/>
          <w:bCs/>
          <w:color w:val="065F46"/>
          <w:sz w:val="24"/>
          <w:szCs w:val="24"/>
        </w:rPr>
        <w:t xml:space="preserve">Laporan Aktivitas</w:t>
      </w:r>
    </w:p>
    <w:p>
      <w:pPr>
        <w:spacing w:after="200" w:line="300"/>
        <w:jc w:val="both"/>
      </w:pPr>
      <w:r>
        <w:rPr>
          <w:rFonts w:ascii="Calibri" w:cs="Calibri" w:eastAsia="Calibri" w:hAnsi="Calibri"/>
          <w:color w:val="1E293B"/>
          <w:sz w:val="22"/>
          <w:szCs w:val="22"/>
        </w:rPr>
        <w:t xml:space="preserve">Laporan aktivitas entitas wakaf terdiri atas dua bagian utama: penghasilan dan beban. Bagian penghasilan mencakup penerimaan wakaf permanen menurut jenis aset yang diterima (kas, surat berharga, logam mulia, bangunan, kendaraan, tanaman, hak atas tanah, hak milik rumah susun, hak kekayaan intelektual, hak sewa, dan lain-lain), dampak pengukuran ulang aset wakaf (perubahan nilai wajar), serta hasil pengelolaan dan pengembangan aset wakaf yang mencakup bagi hasil, dividen, keuntungan neto pelepasan investasi, dan kenaikan/penurunan nilai investasi, dikurangi beban pengelolaan dan pengembangan serta bagian nazhir atas hasil pengelolaan yang sudah terealisasi (ujrah/hak amil).</w:t>
      </w:r>
    </w:p>
    <w:p>
      <w:pPr>
        <w:spacing w:after="200" w:line="300"/>
        <w:jc w:val="both"/>
      </w:pPr>
      <w:r>
        <w:rPr>
          <w:rFonts w:ascii="Calibri" w:cs="Calibri" w:eastAsia="Calibri" w:hAnsi="Calibri"/>
          <w:color w:val="1E293B"/>
          <w:sz w:val="22"/>
          <w:szCs w:val="22"/>
        </w:rPr>
        <w:t xml:space="preserve">Bagian beban dikelompokkan menurut jenis kegiatan penyaluran manfaat, misalnya kegiatan ibadah, kegiatan pendidikan, kegiatan kesehatan, bantuan fakir miskin/anak terlantar/yatim piatu/beasiswa, kegiatan ekonomi umat, dan kegiatan kesejahteraan umum lain. Selisih antara jumlah penghasilan dan jumlah beban menghasilkan kenaikan atau penurunan aset neto, yang ditambahkan pada aset neto awal periode untuk memperoleh aset neto akhir periode. Struktur pengelompokan beban menurut jenis kegiatan ini memberikan gambaran yang lebih informatif mengenai ke mana manfaat wakaf sesungguhnya disalurkan, dibandingkan sekadar angka penyaluran agregat.</w:t>
      </w:r>
    </w:p>
    <w:p>
      <w:pPr>
        <w:pStyle w:val="Heading3"/>
        <w:spacing w:after="120" w:before="240"/>
      </w:pPr>
      <w:r>
        <w:rPr>
          <w:rFonts w:ascii="Calibri" w:cs="Calibri" w:eastAsia="Calibri" w:hAnsi="Calibri"/>
          <w:b/>
          <w:bCs/>
          <w:color w:val="065F46"/>
          <w:sz w:val="24"/>
          <w:szCs w:val="24"/>
        </w:rPr>
        <w:t xml:space="preserve">Laporan Arus Kas</w:t>
      </w:r>
    </w:p>
    <w:p>
      <w:pPr>
        <w:spacing w:after="200" w:line="300"/>
        <w:jc w:val="both"/>
      </w:pPr>
      <w:r>
        <w:rPr>
          <w:rFonts w:ascii="Calibri" w:cs="Calibri" w:eastAsia="Calibri" w:hAnsi="Calibri"/>
          <w:color w:val="1E293B"/>
          <w:sz w:val="22"/>
          <w:szCs w:val="22"/>
        </w:rPr>
        <w:t xml:space="preserve">Laporan arus kas entitas wakaf mengikuti struktur umum laporan arus kas — aktivitas operasi, investasi, dan pendanaan — yang disesuaikan dengan konteks pengelolaan wakaf, misalnya penerimaan kas dari wakaf uang baru, kas keluar untuk penyaluran manfaat, serta arus kas dari investasi atau pengembangan aset wakaf produktif.</w:t>
      </w:r>
    </w:p>
    <w:p>
      <w:pPr>
        <w:pStyle w:val="Heading3"/>
        <w:spacing w:after="120" w:before="240"/>
      </w:pPr>
      <w:r>
        <w:rPr>
          <w:rFonts w:ascii="Calibri" w:cs="Calibri" w:eastAsia="Calibri" w:hAnsi="Calibri"/>
          <w:b/>
          <w:bCs/>
          <w:color w:val="065F46"/>
          <w:sz w:val="24"/>
          <w:szCs w:val="24"/>
        </w:rPr>
        <w:t xml:space="preserve">Laporan Rincian Aset Wakaf</w:t>
      </w:r>
    </w:p>
    <w:p>
      <w:pPr>
        <w:spacing w:after="200" w:line="300"/>
        <w:jc w:val="both"/>
      </w:pPr>
      <w:r>
        <w:rPr>
          <w:rFonts w:ascii="Calibri" w:cs="Calibri" w:eastAsia="Calibri" w:hAnsi="Calibri"/>
          <w:color w:val="1E293B"/>
          <w:sz w:val="22"/>
          <w:szCs w:val="22"/>
        </w:rPr>
        <w:t xml:space="preserve">Komponen yang bersifat khas pada PSAK 412 adalah laporan rincian aset wakaf, yang menyajikan setiap jenis aset wakaf (kas dan setara kas, piutang, efek ekuitas, efek utang, logam mulia, hak sewa, investasi pada entitas lain, aset tetap seperti hak atas tanah dan bangunan, aset takberwujud, dan sebagainya) dipilah menjadi dua kolom sumber: aset yang bersumber dari wakif (yaitu pokok wakaf yang diserahkan) dan aset yang bersumber dari hasil pengelolaan dan pengembangan (yaitu tambahan nilai dari investasi, sewa, atau hasil usaha lain), dengan kolom jumlah sebagai penjumlahan keduanya, disajikan komparatif untuk dua periode pelaporan.</w:t>
      </w:r>
    </w:p>
    <w:p>
      <w:pPr>
        <w:spacing w:after="200" w:line="300"/>
        <w:jc w:val="both"/>
      </w:pPr>
      <w:r>
        <w:rPr>
          <w:rFonts w:ascii="Calibri" w:cs="Calibri" w:eastAsia="Calibri" w:hAnsi="Calibri"/>
          <w:color w:val="1E293B"/>
          <w:sz w:val="22"/>
          <w:szCs w:val="22"/>
        </w:rPr>
        <w:t xml:space="preserve">Struktur ini memungkinkan pembaca laporan membedakan berapa besar aset wakaf yang murni berasal dari pokok yang diwakafkan wakif dibandingkan berapa besar yang merupakan hasil pengembangan oleh nazhir. Sebagai pelengkap yang bersifat sukarela — bukan format wajib PSAK 412 — sebagian nazhir turut menyelenggarakan subledger internal yang merinci aset per wakif secara individual guna mendukung pelaporan pertanggungjawaban kepada masing-masing wakif, sebagaimana diilustrasikan pada Lampiran A dan Lampiran B.</w:t>
      </w:r>
    </w:p>
    <w:p>
      <w:pPr>
        <w:pStyle w:val="Heading3"/>
        <w:spacing w:after="120" w:before="240"/>
      </w:pPr>
      <w:r>
        <w:rPr>
          <w:rFonts w:ascii="Calibri" w:cs="Calibri" w:eastAsia="Calibri" w:hAnsi="Calibri"/>
          <w:b/>
          <w:bCs/>
          <w:color w:val="065F46"/>
          <w:sz w:val="24"/>
          <w:szCs w:val="24"/>
        </w:rPr>
        <w:t xml:space="preserve">Catatan atas Laporan Keuangan</w:t>
      </w:r>
    </w:p>
    <w:p>
      <w:pPr>
        <w:spacing w:after="200" w:line="300"/>
        <w:jc w:val="both"/>
      </w:pPr>
      <w:r>
        <w:rPr>
          <w:rFonts w:ascii="Calibri" w:cs="Calibri" w:eastAsia="Calibri" w:hAnsi="Calibri"/>
          <w:color w:val="1E293B"/>
          <w:sz w:val="22"/>
          <w:szCs w:val="22"/>
        </w:rPr>
        <w:t xml:space="preserve">Sebagaimana lazimnya laporan keuangan berbasis SAK, entitas wakaf turut menyertakan catatan atas laporan keuangan yang menjelaskan kebijakan akuntansi yang digunakan, rincian akun-akun signifikan, informasi mengenai ikatan atau pembatasan penggunaan aset wakaf, serta pengungkapan lain yang relevan bagi pembaca laporan keuangan, termasuk pengungkapan mengenai dasar penentuan nilai wajar aset tidak bergerak dan aset bergerak lain.</w:t>
      </w:r>
    </w:p>
    <w:p>
      <w:pPr>
        <w:pStyle w:val="Heading3"/>
        <w:spacing w:after="120" w:before="240"/>
      </w:pPr>
      <w:r>
        <w:rPr>
          <w:rFonts w:ascii="Calibri" w:cs="Calibri" w:eastAsia="Calibri" w:hAnsi="Calibri"/>
          <w:b/>
          <w:bCs/>
          <w:color w:val="065F46"/>
          <w:sz w:val="24"/>
          <w:szCs w:val="24"/>
        </w:rPr>
        <w:t xml:space="preserve">Keterkaitan Antarlaporan</w:t>
      </w:r>
    </w:p>
    <w:p>
      <w:pPr>
        <w:spacing w:after="200" w:line="300"/>
        <w:jc w:val="both"/>
      </w:pPr>
      <w:r>
        <w:rPr>
          <w:rFonts w:ascii="Calibri" w:cs="Calibri" w:eastAsia="Calibri" w:hAnsi="Calibri"/>
          <w:color w:val="1E293B"/>
          <w:sz w:val="22"/>
          <w:szCs w:val="22"/>
        </w:rPr>
        <w:t xml:space="preserve">Kelima komponen laporan keuangan entitas wakaf saling berkaitan dan perlu disusun secara konsisten. Aset neto akhir periode pada laporan aktivitas harus sama dengan pos aset neto pada laporan posisi keuangan di akhir periode yang sama. Saldo kas akhir pada laporan arus kas harus sama dengan saldo akun kas dan setara kas pada laporan posisi keuangan. Total aset pada laporan rincian aset wakaf, setelah dijumlahkan menurut sumber (wakif dan hasil pengelolaan), harus sama dengan total aset wakaf pada laporan posisi keuangan. Ketidaksesuaian di antara laporan-laporan ini merupakan indikasi awal adanya kesalahan pencatatan yang perlu ditelusuri sebelum laporan keuangan difinalisasi.</w:t>
      </w:r>
    </w:p>
    <w:p>
      <w:pPr>
        <w:pStyle w:val="Heading3"/>
        <w:spacing w:after="120" w:before="240"/>
      </w:pPr>
      <w:r>
        <w:rPr>
          <w:rFonts w:ascii="Calibri" w:cs="Calibri" w:eastAsia="Calibri" w:hAnsi="Calibri"/>
          <w:b/>
          <w:bCs/>
          <w:color w:val="065F46"/>
          <w:sz w:val="24"/>
          <w:szCs w:val="24"/>
        </w:rPr>
        <w:t xml:space="preserve">Praktik Pengungkapan Tambahan yang Direkomendasikan</w:t>
      </w:r>
    </w:p>
    <w:p>
      <w:pPr>
        <w:spacing w:after="200" w:line="300"/>
        <w:jc w:val="both"/>
      </w:pPr>
      <w:r>
        <w:rPr>
          <w:rFonts w:ascii="Calibri" w:cs="Calibri" w:eastAsia="Calibri" w:hAnsi="Calibri"/>
          <w:color w:val="1E293B"/>
          <w:sz w:val="22"/>
          <w:szCs w:val="22"/>
        </w:rPr>
        <w:t xml:space="preserve">Di luar pengungkapan minimum yang diwajibkan PSAK 412, nazhir yang mengedepankan tata kelola yang baik dapat mempertimbangkan pengungkapan tambahan yang memperkuat kepercayaan wakif dan publik, misalnya: ringkasan naratif mengenai dampak sosial dari penyaluran manfaat wakaf (bukan sekadar angka), penjelasan mengenai kebijakan investasi dana wakaf uang dan pertimbangan syariahnya, informasi mengenai sertifikasi Dewan Pengawas Syariah atas laporan keuangan wakaf, serta perbandingan realisasi penyaluran manfaat dengan rencana kerja tahunan nazhir. Pengungkapan tambahan semacam ini bersifat sukarela namun konsisten dengan semangat akuntabilitas yang mendasari lahirnya PSAK 412.</w:t>
      </w:r>
    </w:p>
    <w:p>
      <w:pPr>
        <w:pStyle w:val="Heading3"/>
        <w:spacing w:after="120" w:before="240"/>
      </w:pPr>
      <w:r>
        <w:rPr>
          <w:rFonts w:ascii="Calibri" w:cs="Calibri" w:eastAsia="Calibri" w:hAnsi="Calibri"/>
          <w:b/>
          <w:bCs/>
          <w:color w:val="065F46"/>
          <w:sz w:val="24"/>
          <w:szCs w:val="24"/>
        </w:rPr>
        <w:t xml:space="preserve">Frekuensi dan Media Pelaporan kepada Wakif</w:t>
      </w:r>
    </w:p>
    <w:p>
      <w:pPr>
        <w:spacing w:after="200" w:line="300"/>
        <w:jc w:val="both"/>
      </w:pPr>
      <w:r>
        <w:rPr>
          <w:rFonts w:ascii="Calibri" w:cs="Calibri" w:eastAsia="Calibri" w:hAnsi="Calibri"/>
          <w:color w:val="1E293B"/>
          <w:sz w:val="22"/>
          <w:szCs w:val="22"/>
        </w:rPr>
        <w:t xml:space="preserve">PSAK 412 tidak mengatur secara spesifik frekuensi pelaporan kepada wakif, namun praktik tata kelola yang baik menganjurkan nazhir menyusun laporan keuangan entitas wakaf minimal setahun sekali, dengan opsi laporan interim yang lebih ringkas (misalnya triwulanan) bagi wakif dengan nilai wakaf signifikan atau bagi wakaf produktif yang menghasilkan arus kas rutin. Media pelaporan dapat berupa laporan cetak konvensional maupun laporan digital melalui aplikasi atau perpustakaan digital nazhir, sepanjang keasliannya dapat dipertanggungjawabkan dan mudah diakses oleh wakif maupun BWI sewaktu-waktu diperlukan untuk keperluan pengawasan.</w:t>
      </w:r>
    </w:p>
    <w:p>
      <w:pPr>
        <w:spacing w:after="120" w:before="200"/>
      </w:pPr>
      <w:r>
        <w:rPr>
          <w:rFonts w:ascii="Calibri" w:cs="Calibri" w:eastAsia="Calibri" w:hAnsi="Calibri"/>
          <w:b/>
          <w:bCs/>
          <w:color w:val="065F46"/>
          <w:sz w:val="22"/>
          <w:szCs w:val="22"/>
        </w:rPr>
        <w:t xml:space="preserve">Komponen Laporan Keuangan Entitas Wakaf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3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Aspek</w:t>
            </w:r>
          </w:p>
        </w:tc>
        <w:tc>
          <w:tcPr>
            <w:tcW w:type="pct" w:w="6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Keterangan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Laporan Posisi Keuangan</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(lancar/tidak lancar), liabilitas (termasuk wakaf temporer sebagai liabilitas jangka pendek/panjang), dan aset neto</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Laporan Aktivitas</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Penghasilan (penerimaan wakaf, pengukuran ulang, hasil pengelolaan) dikurangi beban (menurut jenis kegiatan penyaluran)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Laporan Arus Kas</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Arus kas operasi, investasi, dan pendanaan entitas wakaf</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Laporan Rincian Aset Wakaf</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Rincian aset menurut jenis aset, dipilah sumber wakif vs. hasil pengelolaan dan pengembangan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Catatan atas Laporan Keuangan</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Kebijakan akuntansi dan pengungkapan pendukung lainnya</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Laporan keuangan entitas wakaf yang lengkap terdiri atas laporan posisi keuangan, laporan aktivitas, laporan arus kas, laporan rincian aset wakaf, dan catatan atas laporan keuangan.</w:t>
            </w:r>
          </w:p>
          <w:p>
            <w:pPr>
              <w:pStyle w:val="ListParagraph"/>
              <w:numPr>
                <w:ilvl w:val="0"/>
                <w:numId w:val="1"/>
              </w:numPr>
              <w:spacing w:after="80"/>
            </w:pPr>
            <w:r>
              <w:rPr>
                <w:rFonts w:ascii="Calibri" w:cs="Calibri" w:eastAsia="Calibri" w:hAnsi="Calibri"/>
                <w:color w:val="1E293B"/>
                <w:sz w:val="21"/>
                <w:szCs w:val="21"/>
              </w:rPr>
              <w:t xml:space="preserve">Wakaf temporer (terbatas pada wakaf uang) diakui sebagai liabilitas jangka pendek/panjang pada laporan posisi keuangan entitas wakaf, bukan sebagai bagian aset neto.</w:t>
            </w:r>
          </w:p>
          <w:p>
            <w:pPr>
              <w:pStyle w:val="ListParagraph"/>
              <w:numPr>
                <w:ilvl w:val="0"/>
                <w:numId w:val="1"/>
              </w:numPr>
              <w:spacing w:after="80"/>
            </w:pPr>
            <w:r>
              <w:rPr>
                <w:rFonts w:ascii="Calibri" w:cs="Calibri" w:eastAsia="Calibri" w:hAnsi="Calibri"/>
                <w:color w:val="1E293B"/>
                <w:sz w:val="21"/>
                <w:szCs w:val="21"/>
              </w:rPr>
              <w:t xml:space="preserve">Laporan rincian aset wakaf memilah setiap jenis aset menurut sumber — wakif vs. hasil pengelolaan dan pengembangan — bukan per nama wakif secara individual, sekalipun subledger per wakif dapat diselenggarakan secara internal sebagai pelengkap.</w:t>
            </w:r>
          </w:p>
        </w:tc>
      </w:tr>
    </w:tbl>
    <w:p>
      <w:pPr>
        <w:pageBreakBefore/>
        <w:spacing w:after="80"/>
      </w:pPr>
      <w:r>
        <w:rPr>
          <w:rFonts w:ascii="Calibri" w:cs="Calibri" w:eastAsia="Calibri" w:hAnsi="Calibri"/>
          <w:b/>
          <w:bCs/>
          <w:caps/>
          <w:color w:val="64748B"/>
          <w:sz w:val="22"/>
          <w:szCs w:val="22"/>
        </w:rPr>
        <w:t xml:space="preserve">BAB 7</w:t>
      </w:r>
    </w:p>
    <w:p>
      <w:pPr>
        <w:pStyle w:val="Heading1"/>
        <w:spacing w:after="400" w:before="200"/>
      </w:pPr>
      <w:r>
        <w:rPr>
          <w:rFonts w:ascii="Calibri" w:cs="Calibri" w:eastAsia="Calibri" w:hAnsi="Calibri"/>
          <w:b/>
          <w:bCs/>
          <w:color w:val="065F46"/>
          <w:sz w:val="40"/>
          <w:szCs w:val="40"/>
        </w:rPr>
        <w:t xml:space="preserve">Ilustrasi Jurnal dan Penyajian Laporan Keuangan Sederhana</w:t>
      </w:r>
    </w:p>
    <w:p>
      <w:pPr>
        <w:spacing w:after="200" w:line="300"/>
        <w:jc w:val="both"/>
      </w:pPr>
      <w:r>
        <w:rPr>
          <w:rFonts w:ascii="Calibri" w:cs="Calibri" w:eastAsia="Calibri" w:hAnsi="Calibri"/>
          <w:color w:val="1E293B"/>
          <w:sz w:val="22"/>
          <w:szCs w:val="22"/>
        </w:rPr>
        <w:t xml:space="preserve">Bab ini menyajikan ilustrasi jurnal akuntansi dan format laporan keuangan sederhana untuk memperjelas penerapan konsep pada bab-bab sebelumnya. Seluruh angka bersifat hipotetis dan disusun semata sebagai peragaan, bukan mencerminkan kejadian nyata pada entitas tertentu.</w:t>
      </w:r>
    </w:p>
    <w:p>
      <w:pPr>
        <w:pStyle w:val="Heading3"/>
        <w:spacing w:after="120" w:before="240"/>
      </w:pPr>
      <w:r>
        <w:rPr>
          <w:rFonts w:ascii="Calibri" w:cs="Calibri" w:eastAsia="Calibri" w:hAnsi="Calibri"/>
          <w:b/>
          <w:bCs/>
          <w:color w:val="065F46"/>
          <w:sz w:val="24"/>
          <w:szCs w:val="24"/>
        </w:rPr>
        <w:t xml:space="preserve">Ilustrasi 1 — Penerimaan Wakaf Uang melalui LKS-PWU</w:t>
      </w:r>
    </w:p>
    <w:p>
      <w:pPr>
        <w:spacing w:after="200" w:line="300"/>
        <w:jc w:val="both"/>
      </w:pPr>
      <w:r>
        <w:rPr>
          <w:rFonts w:ascii="Calibri" w:cs="Calibri" w:eastAsia="Calibri" w:hAnsi="Calibri"/>
          <w:color w:val="1E293B"/>
          <w:sz w:val="22"/>
          <w:szCs w:val="22"/>
        </w:rPr>
        <w:t xml:space="preserve">Ilustrasi Hipotetis: Sebuah nazhir badan hukum menerima wakaf uang sebesar Rp50.000.000 dari seorang wakif melalui LKS-PWU. Jurnal yang dicatat pada entitas wakaf adalah sebagai berikut: Kas Wakaf (debit) Rp50.000.000, Aset Neto Wakaf — Wakaf Uang (kredit) Rp50.000.000, mencerminkan penambahan aset neto wakaf pada saat pengalihan hukum dan manfaat ekonomis telah terjadi.</w:t>
      </w:r>
    </w:p>
    <w:p>
      <w:pPr>
        <w:pStyle w:val="Heading3"/>
        <w:spacing w:after="120" w:before="240"/>
      </w:pPr>
      <w:r>
        <w:rPr>
          <w:rFonts w:ascii="Calibri" w:cs="Calibri" w:eastAsia="Calibri" w:hAnsi="Calibri"/>
          <w:b/>
          <w:bCs/>
          <w:color w:val="065F46"/>
          <w:sz w:val="24"/>
          <w:szCs w:val="24"/>
        </w:rPr>
        <w:t xml:space="preserve">Ilustrasi 2 — Penerimaan Wakaf Tanah</w:t>
      </w:r>
    </w:p>
    <w:p>
      <w:pPr>
        <w:spacing w:after="200" w:line="300"/>
        <w:jc w:val="both"/>
      </w:pPr>
      <w:r>
        <w:rPr>
          <w:rFonts w:ascii="Calibri" w:cs="Calibri" w:eastAsia="Calibri" w:hAnsi="Calibri"/>
          <w:color w:val="1E293B"/>
          <w:sz w:val="22"/>
          <w:szCs w:val="22"/>
        </w:rPr>
        <w:t xml:space="preserve">Ilustrasi Hipotetis: Seorang wakif menyerahkan sebidang tanah dengan nilai wajar hasil penilaian independen sebesar Rp800.000.000 untuk pembangunan fasilitas sosial. Jurnal pada entitas wakaf: Aset Tidak Bergerak Wakaf — Tanah (debit) Rp800.000.000, Aset Neto Wakaf — Wakaf Permanen (kredit) Rp800.000.000.</w:t>
      </w:r>
    </w:p>
    <w:p>
      <w:pPr>
        <w:pStyle w:val="Heading3"/>
        <w:spacing w:after="120" w:before="240"/>
      </w:pPr>
      <w:r>
        <w:rPr>
          <w:rFonts w:ascii="Calibri" w:cs="Calibri" w:eastAsia="Calibri" w:hAnsi="Calibri"/>
          <w:b/>
          <w:bCs/>
          <w:color w:val="065F46"/>
          <w:sz w:val="24"/>
          <w:szCs w:val="24"/>
        </w:rPr>
        <w:t xml:space="preserve">Ilustrasi 3 — Hasil Pengelolaan Wakaf Produktif</w:t>
      </w:r>
    </w:p>
    <w:p>
      <w:pPr>
        <w:spacing w:after="200" w:line="300"/>
        <w:jc w:val="both"/>
      </w:pPr>
      <w:r>
        <w:rPr>
          <w:rFonts w:ascii="Calibri" w:cs="Calibri" w:eastAsia="Calibri" w:hAnsi="Calibri"/>
          <w:color w:val="1E293B"/>
          <w:sz w:val="22"/>
          <w:szCs w:val="22"/>
        </w:rPr>
        <w:t xml:space="preserve">Ilustrasi Hipotetis: Aset wakaf produktif berupa ruko yang disewakan menghasilkan pendapatan sewa Rp12.000.000 dalam satu periode. Jurnal: Kas Wakaf (debit) Rp12.000.000, Aset Neto Wakaf — Hasil Pengelolaan (kredit) Rp12.000.000. Hasil pengelolaan ini menambah aset neto wakaf, bukan menjadi pendapatan nazhir selaku badan hukum.</w:t>
      </w:r>
    </w:p>
    <w:p>
      <w:pPr>
        <w:pStyle w:val="Heading3"/>
        <w:spacing w:after="120" w:before="240"/>
      </w:pPr>
      <w:r>
        <w:rPr>
          <w:rFonts w:ascii="Calibri" w:cs="Calibri" w:eastAsia="Calibri" w:hAnsi="Calibri"/>
          <w:b/>
          <w:bCs/>
          <w:color w:val="065F46"/>
          <w:sz w:val="24"/>
          <w:szCs w:val="24"/>
        </w:rPr>
        <w:t xml:space="preserve">Ilustrasi 4 — Ujrah/Hak Amil Nazhir</w:t>
      </w:r>
    </w:p>
    <w:p>
      <w:pPr>
        <w:spacing w:after="200" w:line="300"/>
        <w:jc w:val="both"/>
      </w:pPr>
      <w:r>
        <w:rPr>
          <w:rFonts w:ascii="Calibri" w:cs="Calibri" w:eastAsia="Calibri" w:hAnsi="Calibri"/>
          <w:color w:val="1E293B"/>
          <w:sz w:val="22"/>
          <w:szCs w:val="22"/>
        </w:rPr>
        <w:t xml:space="preserve">Ilustrasi Hipotetis: Dari hasil pengelolaan sebesar Rp12.000.000 pada Ilustrasi 3, nazhir memperoleh hak amil sebesar 10% atau Rp1.200.000 sesuai kebijakan yang berlaku. Pada entitas wakaf dicatat: Aset Neto Wakaf — Beban Ujrah Nazhir (debit) Rp1.200.000, Kas Wakaf (kredit) Rp1.200.000. Pada laporan keuangan badan hukum nazhir secara terpisah, jumlah yang sama diakui sebagai Pendapatan Ujrah Pengelolaan Wakaf.</w:t>
      </w:r>
    </w:p>
    <w:p>
      <w:pPr>
        <w:pStyle w:val="Heading3"/>
        <w:spacing w:after="120" w:before="240"/>
      </w:pPr>
      <w:r>
        <w:rPr>
          <w:rFonts w:ascii="Calibri" w:cs="Calibri" w:eastAsia="Calibri" w:hAnsi="Calibri"/>
          <w:b/>
          <w:bCs/>
          <w:color w:val="065F46"/>
          <w:sz w:val="24"/>
          <w:szCs w:val="24"/>
        </w:rPr>
        <w:t xml:space="preserve">Ilustrasi 5 — Penyaluran Manfaat kepada Mauquf ‘Alaih</w:t>
      </w:r>
    </w:p>
    <w:p>
      <w:pPr>
        <w:spacing w:after="200" w:line="300"/>
        <w:jc w:val="both"/>
      </w:pPr>
      <w:r>
        <w:rPr>
          <w:rFonts w:ascii="Calibri" w:cs="Calibri" w:eastAsia="Calibri" w:hAnsi="Calibri"/>
          <w:color w:val="1E293B"/>
          <w:sz w:val="22"/>
          <w:szCs w:val="22"/>
        </w:rPr>
        <w:t xml:space="preserve">Ilustrasi Hipotetis: Sisa hasil pengelolaan sebesar Rp10.800.000 disalurkan kepada penerima manfaat (mauquf ‘alaih) berupa program pendidikan. Jurnal: Aset Neto Wakaf — Penyaluran (debit) Rp10.800.000, Kas Wakaf (kredit) Rp10.800.000.</w:t>
      </w:r>
    </w:p>
    <w:p>
      <w:pPr>
        <w:pStyle w:val="Heading3"/>
        <w:spacing w:after="120" w:before="240"/>
      </w:pPr>
      <w:r>
        <w:rPr>
          <w:rFonts w:ascii="Calibri" w:cs="Calibri" w:eastAsia="Calibri" w:hAnsi="Calibri"/>
          <w:b/>
          <w:bCs/>
          <w:color w:val="065F46"/>
          <w:sz w:val="24"/>
          <w:szCs w:val="24"/>
        </w:rPr>
        <w:t xml:space="preserve">Ilustrasi 6 — Wakaf Temporer oleh Wakif Korporasi</w:t>
      </w:r>
    </w:p>
    <w:p>
      <w:pPr>
        <w:spacing w:after="200" w:line="300"/>
        <w:jc w:val="both"/>
      </w:pPr>
      <w:r>
        <w:rPr>
          <w:rFonts w:ascii="Calibri" w:cs="Calibri" w:eastAsia="Calibri" w:hAnsi="Calibri"/>
          <w:color w:val="1E293B"/>
          <w:sz w:val="22"/>
          <w:szCs w:val="22"/>
        </w:rPr>
        <w:t xml:space="preserve">Ilustrasi Hipotetis: Sebuah badan hukum menyerahkan wakaf uang temporer sebesar Rp100.000.000 untuk jangka waktu lima tahun. Pada laporan keuangan wakif, jurnal yang dicatat adalah: Aset Wakaf Dibatasi Penggunaannya (debit) Rp100.000.000, Kas (kredit) Rp100.000.000 — tanpa mengakui beban, karena kepemilikan belum dilepaskan secara permanen dan wakif tidak menghentikan pengakuan atas aset tersebut.</w:t>
      </w:r>
    </w:p>
    <w:p>
      <w:pPr>
        <w:spacing w:after="200" w:line="300"/>
        <w:jc w:val="both"/>
      </w:pPr>
      <w:r>
        <w:rPr>
          <w:rFonts w:ascii="Calibri" w:cs="Calibri" w:eastAsia="Calibri" w:hAnsi="Calibri"/>
          <w:color w:val="1E293B"/>
          <w:sz w:val="22"/>
          <w:szCs w:val="22"/>
        </w:rPr>
        <w:t xml:space="preserve">Pada entitas wakaf, penerimaan dana dicatat sebagai berikut: Kas Wakaf (debit) Rp100.000.000, Liabilitas Wakaf Temporer — Wakaf Uang (kredit) Rp100.000.000. Berbeda dari Ilustrasi 1, penerimaan ini TIDAK menambah aset neto wakaf, melainkan diakui sebagai liabilitas jangka panjang (karena jangka waktu lima tahun), sejalan dengan ketentuan resmi PSAK 412 yang mengakui wakaf temporer sebagai liabilitas sebagaimana dibahas pada Bab 5. Jika sisa jangka waktu wakaf pada suatu tanggal pelaporan kurang dari dua belas bulan, liabilitas ini direklasifikasi menjadi liabilitas jangka pendek.</w:t>
      </w:r>
    </w:p>
    <w:p>
      <w:pPr>
        <w:pStyle w:val="Heading3"/>
        <w:spacing w:after="120" w:before="240"/>
      </w:pPr>
      <w:r>
        <w:rPr>
          <w:rFonts w:ascii="Calibri" w:cs="Calibri" w:eastAsia="Calibri" w:hAnsi="Calibri"/>
          <w:b/>
          <w:bCs/>
          <w:color w:val="065F46"/>
          <w:sz w:val="24"/>
          <w:szCs w:val="24"/>
        </w:rPr>
        <w:t xml:space="preserve">Ilustrasi 7 — Investasi Dana Wakaf Uang pada Instrumen Syariah</w:t>
      </w:r>
    </w:p>
    <w:p>
      <w:pPr>
        <w:spacing w:after="200" w:line="300"/>
        <w:jc w:val="both"/>
      </w:pPr>
      <w:r>
        <w:rPr>
          <w:rFonts w:ascii="Calibri" w:cs="Calibri" w:eastAsia="Calibri" w:hAnsi="Calibri"/>
          <w:color w:val="1E293B"/>
          <w:sz w:val="22"/>
          <w:szCs w:val="22"/>
        </w:rPr>
        <w:t xml:space="preserve">Ilustrasi Hipotetis: Sebagian dana wakaf uang sebesar Rp30.000.000 ditempatkan oleh nazhir pada deposito syariah melalui LKS-PWU untuk memperoleh bagi hasil. Pada saat penempatan, jurnal yang dicatat adalah pemindahan akun dalam aset wakaf itu sendiri: Investasi Wakaf — Deposito Syariah (debit) Rp30.000.000, Kas Wakaf (kredit) Rp30.000.000 — tidak menimbulkan perubahan pada total aset neto wakaf karena hanya berupa perubahan bentuk aset. Pada akhir periode, bagi hasil yang diterima sebesar Rp750.000 dicatat: Kas Wakaf (debit) Rp750.000, Aset Neto Wakaf — Hasil Pengelolaan (kredit) Rp750.000.</w:t>
      </w:r>
    </w:p>
    <w:p>
      <w:pPr>
        <w:pStyle w:val="Heading3"/>
        <w:spacing w:after="120" w:before="240"/>
      </w:pPr>
      <w:r>
        <w:rPr>
          <w:rFonts w:ascii="Calibri" w:cs="Calibri" w:eastAsia="Calibri" w:hAnsi="Calibri"/>
          <w:b/>
          <w:bCs/>
          <w:color w:val="065F46"/>
          <w:sz w:val="24"/>
          <w:szCs w:val="24"/>
        </w:rPr>
        <w:t xml:space="preserve">Ilustrasi 8 — Format Ringkas Laporan Aktivitas</w:t>
      </w:r>
    </w:p>
    <w:p>
      <w:pPr>
        <w:spacing w:after="200" w:line="300"/>
        <w:jc w:val="both"/>
      </w:pPr>
      <w:r>
        <w:rPr>
          <w:rFonts w:ascii="Calibri" w:cs="Calibri" w:eastAsia="Calibri" w:hAnsi="Calibri"/>
          <w:color w:val="1E293B"/>
          <w:sz w:val="22"/>
          <w:szCs w:val="22"/>
        </w:rPr>
        <w:t xml:space="preserve">Ilustrasi Hipotetis berikut menggambarkan format ringkas laporan aktivitas entitas wakaf untuk satu periode pelaporan, disusun berdasarkan kelanjutan angka-angka pada Ilustrasi 1 hingga 5 di atas.</w:t>
      </w:r>
    </w:p>
    <w:p>
      <w:pPr>
        <w:pStyle w:val="Heading3"/>
        <w:spacing w:after="120" w:before="240"/>
      </w:pPr>
      <w:r>
        <w:rPr>
          <w:rFonts w:ascii="Calibri" w:cs="Calibri" w:eastAsia="Calibri" w:hAnsi="Calibri"/>
          <w:b/>
          <w:bCs/>
          <w:color w:val="065F46"/>
          <w:sz w:val="24"/>
          <w:szCs w:val="24"/>
        </w:rPr>
        <w:t xml:space="preserve">Format Sederhana Laporan Posisi Keuangan dan Laporan Aktivitas</w:t>
      </w:r>
    </w:p>
    <w:p>
      <w:pPr>
        <w:spacing w:after="200" w:line="300"/>
        <w:jc w:val="both"/>
      </w:pPr>
      <w:r>
        <w:rPr>
          <w:rFonts w:ascii="Calibri" w:cs="Calibri" w:eastAsia="Calibri" w:hAnsi="Calibri"/>
          <w:color w:val="1E293B"/>
          <w:sz w:val="22"/>
          <w:szCs w:val="22"/>
        </w:rPr>
        <w:t xml:space="preserve">Ilustrasi Hipotetis berikut menggambarkan format ringkas (bukan format lengkap sesuai seluruh ketentuan penyajian PSAK 412) yang dapat dikembangkan lebih lanjut oleh masing-masing entitas wakaf sesuai kompleksitas transaksinya, dengan tetap memperhatikan seluruh pengungkapan wajib pada catatan atas laporan keuangan.</w:t>
      </w:r>
    </w:p>
    <w:p>
      <w:pPr>
        <w:spacing w:after="120" w:before="200"/>
      </w:pPr>
      <w:r>
        <w:rPr>
          <w:rFonts w:ascii="Calibri" w:cs="Calibri" w:eastAsia="Calibri" w:hAnsi="Calibri"/>
          <w:b/>
          <w:bCs/>
          <w:color w:val="065F46"/>
          <w:sz w:val="22"/>
          <w:szCs w:val="22"/>
        </w:rPr>
        <w:t xml:space="preserve">Ringkasan Jurnal Ilustratif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3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Aspek</w:t>
            </w:r>
          </w:p>
        </w:tc>
        <w:tc>
          <w:tcPr>
            <w:tcW w:type="pct" w:w="6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Keterangan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Penerimaan wakaf uang permanen</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Dr Kas Wakaf — Cr Aset Neto Wakaf</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Penerimaan wakaf tanah (permanen)</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Dr Aset Tidak Bergerak Wakaf — Cr Aset Neto Wakaf</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Penerimaan wakaf uang temporer</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Dr Kas Wakaf — Cr Liabilitas Wakaf Temporer (bukan Aset Neto)</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Hasil pengelolaan wakaf produktif</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Dr Kas Wakaf — Cr Aset Neto Wakaf (Penghasilan Pengelolaan)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Ujrah/hak amil nazhir (entitas wakaf)</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Dr Aset Neto Wakaf (Bagian Nazhir) — Cr Kas Wakaf</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Penyaluran ke mauquf 'alaih</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Dr Aset Neto Wakaf (Beban Penyaluran) — Cr Kas Wakaf</w:t>
            </w:r>
          </w:p>
        </w:tc>
      </w:tr>
    </w:tbl>
    <w:p>
      <w:pPr>
        <w:spacing w:after="120" w:before="200"/>
      </w:pPr>
      <w:r>
        <w:rPr>
          <w:rFonts w:ascii="Calibri" w:cs="Calibri" w:eastAsia="Calibri" w:hAnsi="Calibri"/>
          <w:b/>
          <w:bCs/>
          <w:color w:val="065F46"/>
          <w:sz w:val="22"/>
          <w:szCs w:val="22"/>
        </w:rPr>
        <w:t xml:space="preserve">Ilustrasi Hipotetis — Laporan Posisi Keuangan Ringkas Entitas Wakaf (per akhir periode, kelanjutan Ilustrasi 1–7)</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6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Akun</w:t>
            </w:r>
          </w:p>
        </w:tc>
        <w:tc>
          <w:tcPr>
            <w:tcW w:type="pct" w:w="4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Jumlah (Rp)</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Kas dan Setara Kas Wakaf</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120.750.000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Investasi Wakaf — Deposito Syariah</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30.000.000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Tidak Bergerak Wakaf — Tanah</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800.000.000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Total Aset Wakaf</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950.750.000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Liabilitas Wakaf Temporer — Wakaf Uang (jangka panjang)</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100.000.000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Total Liabilitas</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100.000.000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Neto Wakaf</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850.750.000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Total Liabilitas dan Aset Neto</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950.750.000</w:t>
            </w:r>
          </w:p>
        </w:tc>
      </w:tr>
    </w:tbl>
    <w:p>
      <w:pPr>
        <w:spacing w:after="120" w:before="200"/>
      </w:pPr>
      <w:r>
        <w:rPr>
          <w:rFonts w:ascii="Calibri" w:cs="Calibri" w:eastAsia="Calibri" w:hAnsi="Calibri"/>
          <w:b/>
          <w:bCs/>
          <w:color w:val="065F46"/>
          <w:sz w:val="22"/>
          <w:szCs w:val="22"/>
        </w:rPr>
        <w:t xml:space="preserve">Ilustrasi Hipotetis — Laporan Aktivitas Ringkas Entitas Wakaf (satu periode, kelanjutan Ilustrasi 1–7)</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6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Uraian</w:t>
            </w:r>
          </w:p>
        </w:tc>
        <w:tc>
          <w:tcPr>
            <w:tcW w:type="pct" w:w="4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Jumlah (Rp)</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Neto Awal Periode</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Penerimaan Wakaf Uang (permanen)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50.000.000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Penerimaan Wakaf Tanah (permanen)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800.000.000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Hasil Pengelolaan Wakaf Produktif (sewa)</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12.000.000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Hasil Pengelolaan Investasi Deposito Syariah (bagi hasil)</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750.000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Bagian Nazhir atas Hasil Pengelolaan (Ujrah, maks. 10%)</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(1.200.000)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Jumlah Penghasilan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861.550.000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Beban — Penyaluran kepada Mauquf 'Alaih (Program Pendidikan)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(10.800.000)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Jumlah Beban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(10.800.000)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Kenaikan Aset Neto</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850.750.000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Neto Akhir Periode</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850.750.000</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Setiap jurnal wakaf permanen mencerminkan penambahan atau pengurangan aset neto wakaf, sedangkan wakaf temporer (khusus wakaf uang) dicatat sebagai penambahan liabilitas, bukan aset neto.</w:t>
            </w:r>
          </w:p>
          <w:p>
            <w:pPr>
              <w:pStyle w:val="ListParagraph"/>
              <w:numPr>
                <w:ilvl w:val="0"/>
                <w:numId w:val="1"/>
              </w:numPr>
              <w:spacing w:after="80"/>
            </w:pPr>
            <w:r>
              <w:rPr>
                <w:rFonts w:ascii="Calibri" w:cs="Calibri" w:eastAsia="Calibri" w:hAnsi="Calibri"/>
                <w:color w:val="1E293B"/>
                <w:sz w:val="21"/>
                <w:szCs w:val="21"/>
              </w:rPr>
              <w:t xml:space="preserve">Ujrah/hak amil nazhir diakui sebagai pendapatan pada laporan keuangan badan hukum nazhir secara terpisah, sekaligus sebagai pengurang penghasilan pada laporan aktivitas entitas wakaf.</w:t>
            </w:r>
          </w:p>
          <w:p>
            <w:pPr>
              <w:pStyle w:val="ListParagraph"/>
              <w:numPr>
                <w:ilvl w:val="0"/>
                <w:numId w:val="1"/>
              </w:numPr>
              <w:spacing w:after="80"/>
            </w:pPr>
            <w:r>
              <w:rPr>
                <w:rFonts w:ascii="Calibri" w:cs="Calibri" w:eastAsia="Calibri" w:hAnsi="Calibri"/>
                <w:color w:val="1E293B"/>
                <w:sz w:val="21"/>
                <w:szCs w:val="21"/>
              </w:rPr>
              <w:t xml:space="preserve">Seluruh angka pada bab ini bersifat ilustrasi hipotetis dan wajib disesuaikan dengan kondisi riil serta kebijakan akuntansi masing-masing entitas.</w:t>
            </w:r>
          </w:p>
        </w:tc>
      </w:tr>
    </w:tbl>
    <w:p>
      <w:pPr>
        <w:pageBreakBefore/>
        <w:spacing w:after="80"/>
      </w:pPr>
      <w:r>
        <w:rPr>
          <w:rFonts w:ascii="Calibri" w:cs="Calibri" w:eastAsia="Calibri" w:hAnsi="Calibri"/>
          <w:b/>
          <w:bCs/>
          <w:caps/>
          <w:color w:val="64748B"/>
          <w:sz w:val="22"/>
          <w:szCs w:val="22"/>
        </w:rPr>
        <w:t xml:space="preserve">BAB 8</w:t>
      </w:r>
    </w:p>
    <w:p>
      <w:pPr>
        <w:pStyle w:val="Heading1"/>
        <w:spacing w:after="400" w:before="200"/>
      </w:pPr>
      <w:r>
        <w:rPr>
          <w:rFonts w:ascii="Calibri" w:cs="Calibri" w:eastAsia="Calibri" w:hAnsi="Calibri"/>
          <w:b/>
          <w:bCs/>
          <w:color w:val="065F46"/>
          <w:sz w:val="40"/>
          <w:szCs w:val="40"/>
        </w:rPr>
        <w:t xml:space="preserve">Ketentuan Transisi dan Penerapan Dini PSAK 412</w:t>
      </w:r>
    </w:p>
    <w:p>
      <w:pPr>
        <w:spacing w:after="200" w:line="300"/>
        <w:jc w:val="both"/>
      </w:pPr>
      <w:r>
        <w:rPr>
          <w:rFonts w:ascii="Calibri" w:cs="Calibri" w:eastAsia="Calibri" w:hAnsi="Calibri"/>
          <w:color w:val="1E293B"/>
          <w:sz w:val="22"/>
          <w:szCs w:val="22"/>
        </w:rPr>
        <w:t xml:space="preserve">Bab penutup ini membahas ketentuan transisi bagi entitas yang menerapkan PSAK 412, termasuk bagi nazhir dan wakif yang baru menerapkannya setelah tanggal efektif, serta opsi penerapan dini yang tersedia sebelum tanggal tersebut.</w:t>
      </w:r>
    </w:p>
    <w:p>
      <w:pPr>
        <w:pStyle w:val="Heading3"/>
        <w:spacing w:after="120" w:before="240"/>
      </w:pPr>
      <w:r>
        <w:rPr>
          <w:rFonts w:ascii="Calibri" w:cs="Calibri" w:eastAsia="Calibri" w:hAnsi="Calibri"/>
          <w:b/>
          <w:bCs/>
          <w:color w:val="065F46"/>
          <w:sz w:val="24"/>
          <w:szCs w:val="24"/>
        </w:rPr>
        <w:t xml:space="preserve">Tiga Ketentuan Transisi yang Berbeda</w:t>
      </w:r>
    </w:p>
    <w:p>
      <w:pPr>
        <w:spacing w:after="200" w:line="300"/>
        <w:jc w:val="both"/>
      </w:pPr>
      <w:r>
        <w:rPr>
          <w:rFonts w:ascii="Calibri" w:cs="Calibri" w:eastAsia="Calibri" w:hAnsi="Calibri"/>
          <w:color w:val="1E293B"/>
          <w:sz w:val="22"/>
          <w:szCs w:val="22"/>
        </w:rPr>
        <w:t xml:space="preserve">Materi sosialisasi resmi DSAS-IAI menegaskan bahwa ketentuan transisi PSAK 412 sesungguhnya berbeda-beda tergantung jenis entitas pelapor, dan tidak dapat disamaratakan sebagai satu pendekatan tunggal. Terdapat tiga ketentuan transisi yang berbeda: (1) bagi organisasi/badan hukum nazhir selaku entitas pelapor tersendiri; (2) bagi entitas wakaf itu sendiri; dan (3) bagi wakif.</w:t>
      </w:r>
    </w:p>
    <w:p>
      <w:pPr>
        <w:pStyle w:val="Heading3"/>
        <w:spacing w:after="120" w:before="240"/>
      </w:pPr>
      <w:r>
        <w:rPr>
          <w:rFonts w:ascii="Calibri" w:cs="Calibri" w:eastAsia="Calibri" w:hAnsi="Calibri"/>
          <w:b/>
          <w:bCs/>
          <w:color w:val="065F46"/>
          <w:sz w:val="24"/>
          <w:szCs w:val="24"/>
        </w:rPr>
        <w:t xml:space="preserve">Transisi bagi Organisasi/Badan Hukum Nazhir</w:t>
      </w:r>
    </w:p>
    <w:p>
      <w:pPr>
        <w:spacing w:after="200" w:line="300"/>
        <w:jc w:val="both"/>
      </w:pPr>
      <w:r>
        <w:rPr>
          <w:rFonts w:ascii="Calibri" w:cs="Calibri" w:eastAsia="Calibri" w:hAnsi="Calibri"/>
          <w:color w:val="1E293B"/>
          <w:sz w:val="22"/>
          <w:szCs w:val="22"/>
        </w:rPr>
        <w:t xml:space="preserve">Bagi organisasi atau badan hukum nazhir, penerapan PSAK 412 bersifat prospektif, dengan dampak perubahan pengaturan diakui pada saldo aset neto awal periode sajian. Laporan keuangan periode sebelum tanggal efektif tetap disajikan kembali (restated) untuk tujuan komparatif, namun entitas tidak diwajibkan menyajikan laporan posisi keuangan ketiga sebagaimana lazim dituntut pada penerapan retrospektif penuh berdasarkan PSAK 25: Kebijakan Akuntansi, Perubahan Estimasi Akuntansi, dan Kesalahan.</w:t>
      </w:r>
    </w:p>
    <w:p>
      <w:pPr>
        <w:pStyle w:val="Heading3"/>
        <w:spacing w:after="120" w:before="240"/>
      </w:pPr>
      <w:r>
        <w:rPr>
          <w:rFonts w:ascii="Calibri" w:cs="Calibri" w:eastAsia="Calibri" w:hAnsi="Calibri"/>
          <w:b/>
          <w:bCs/>
          <w:color w:val="065F46"/>
          <w:sz w:val="24"/>
          <w:szCs w:val="24"/>
        </w:rPr>
        <w:t xml:space="preserve">Transisi bagi Entitas Wakaf: Fresh Start Accounting</w:t>
      </w:r>
    </w:p>
    <w:p>
      <w:pPr>
        <w:spacing w:after="200" w:line="300"/>
        <w:jc w:val="both"/>
      </w:pPr>
      <w:r>
        <w:rPr>
          <w:rFonts w:ascii="Calibri" w:cs="Calibri" w:eastAsia="Calibri" w:hAnsi="Calibri"/>
          <w:color w:val="1E293B"/>
          <w:sz w:val="22"/>
          <w:szCs w:val="22"/>
        </w:rPr>
        <w:t xml:space="preserve">Bagi entitas wakaf, ketentuan transisi bersifat lebih khusus, dikenal sebagai fresh start accounting. Entitas wakaf menerapkan PSAK 412 secara prospektif sejak tanggal efektif, dengan seluruh aset dan liabilitas entitas wakaf diukur ulang pada nilai wajar pada tanggal efektif tersebut. Pendekatan fresh start accounting ini pada dasarnya memperlakukan entitas wakaf seolah-olah baru lahir (dibentuk) pada tanggal efektif penerapan PSAK 412, terlepas dari sudah berapa lama aset wakaf tersebut sesungguhnya dikelola nazhir sebelum tanggal efektif.</w:t>
      </w:r>
    </w:p>
    <w:p>
      <w:pPr>
        <w:spacing w:after="200" w:line="300"/>
        <w:jc w:val="both"/>
      </w:pPr>
      <w:r>
        <w:rPr>
          <w:rFonts w:ascii="Calibri" w:cs="Calibri" w:eastAsia="Calibri" w:hAnsi="Calibri"/>
          <w:color w:val="1E293B"/>
          <w:sz w:val="22"/>
          <w:szCs w:val="22"/>
        </w:rPr>
        <w:t xml:space="preserve">Konsekuensi praktis dari fresh start accounting adalah bahwa entitas wakaf tidak perlu menelusuri riwayat pencatatan lama yang mungkin tidak tertib atau tidak lengkap; yang diperlukan hanyalah penilaian ulang seluruh aset dan liabilitas wakaf secara wajar pada tanggal efektif penerapan, yang kemudian menjadi titik awal (starting point) pembukuan entitas wakaf berdasarkan PSAK 412.</w:t>
      </w:r>
    </w:p>
    <w:p>
      <w:pPr>
        <w:pStyle w:val="Heading3"/>
        <w:spacing w:after="120" w:before="240"/>
      </w:pPr>
      <w:r>
        <w:rPr>
          <w:rFonts w:ascii="Calibri" w:cs="Calibri" w:eastAsia="Calibri" w:hAnsi="Calibri"/>
          <w:b/>
          <w:bCs/>
          <w:color w:val="065F46"/>
          <w:sz w:val="24"/>
          <w:szCs w:val="24"/>
        </w:rPr>
        <w:t xml:space="preserve">Transisi bagi Wakif</w:t>
      </w:r>
    </w:p>
    <w:p>
      <w:pPr>
        <w:spacing w:after="200" w:line="300"/>
        <w:jc w:val="both"/>
      </w:pPr>
      <w:r>
        <w:rPr>
          <w:rFonts w:ascii="Calibri" w:cs="Calibri" w:eastAsia="Calibri" w:hAnsi="Calibri"/>
          <w:color w:val="1E293B"/>
          <w:sz w:val="22"/>
          <w:szCs w:val="22"/>
        </w:rPr>
        <w:t xml:space="preserve">Bagi wakif, ketentuan transisi bersifat prospektif sederhana tanpa penyesuaian awal khusus maupun fresh start accounting, karena perlakuan akuntansi wakif atas aset yang diwakafkan (pengakuan beban untuk wakaf permanen, atau aset dibatasi penggunaannya untuk wakaf temporer) diterapkan ke depan sejak tanggal efektif untuk transaksi wakaf yang terjadi sejak tanggal tersebut.</w:t>
      </w:r>
    </w:p>
    <w:p>
      <w:pPr>
        <w:pStyle w:val="Heading3"/>
        <w:spacing w:after="120" w:before="240"/>
      </w:pPr>
      <w:r>
        <w:rPr>
          <w:rFonts w:ascii="Calibri" w:cs="Calibri" w:eastAsia="Calibri" w:hAnsi="Calibri"/>
          <w:b/>
          <w:bCs/>
          <w:color w:val="065F46"/>
          <w:sz w:val="24"/>
          <w:szCs w:val="24"/>
        </w:rPr>
        <w:t xml:space="preserve">Opsi Penerapan Dini</w:t>
      </w:r>
    </w:p>
    <w:p>
      <w:pPr>
        <w:spacing w:after="200" w:line="300"/>
        <w:jc w:val="both"/>
      </w:pPr>
      <w:r>
        <w:rPr>
          <w:rFonts w:ascii="Calibri" w:cs="Calibri" w:eastAsia="Calibri" w:hAnsi="Calibri"/>
          <w:color w:val="1E293B"/>
          <w:sz w:val="22"/>
          <w:szCs w:val="22"/>
        </w:rPr>
        <w:t xml:space="preserve">PSAK 412 memberikan opsi penerapan dini sebelum tanggal efektif 1 Januari 2021 bagi entitas yang telah siap menerapkannya. Bagi nazhir dan wakif berbadan hukum yang belum menerapkan PSAK 412 hingga saat ini, opsi penerapan dini secara praktis sudah tidak relevan karena tanggal efektif telah lama berlalu; seluruh entitas dalam ruang lingkup standar ini seharusnya telah menerapkannya secara penuh. Pembahasan mengenai opsi penerapan dini pada bab ini tetap relevan sebagai konteks historis dan sebagai acuan bagi entitas yang baru terbentuk atau baru dikukuhkan sebagai nazhir badan hukum dan tengah menyusun kebijakan akuntansi wakafnya untuk pertama kali.</w:t>
      </w:r>
    </w:p>
    <w:p>
      <w:pPr>
        <w:pStyle w:val="Heading3"/>
        <w:spacing w:after="120" w:before="240"/>
      </w:pPr>
      <w:r>
        <w:rPr>
          <w:rFonts w:ascii="Calibri" w:cs="Calibri" w:eastAsia="Calibri" w:hAnsi="Calibri"/>
          <w:b/>
          <w:bCs/>
          <w:color w:val="065F46"/>
          <w:sz w:val="24"/>
          <w:szCs w:val="24"/>
        </w:rPr>
        <w:t xml:space="preserve">Langkah Praktis Penerapan Pertama Kali</w:t>
      </w:r>
    </w:p>
    <w:p>
      <w:pPr>
        <w:spacing w:after="200" w:line="300"/>
        <w:jc w:val="both"/>
      </w:pPr>
      <w:r>
        <w:rPr>
          <w:rFonts w:ascii="Calibri" w:cs="Calibri" w:eastAsia="Calibri" w:hAnsi="Calibri"/>
          <w:color w:val="1E293B"/>
          <w:sz w:val="22"/>
          <w:szCs w:val="22"/>
        </w:rPr>
        <w:t xml:space="preserve">Bagi nazhir atau wakif yang baru menyusun laporan keuangan wakaf sesuai PSAK 412 untuk pertama kalinya, terdapat sejumlah langkah persiapan yang perlu dilakukan: melakukan inventarisasi seluruh aset wakaf yang selama ini dikelola beserta dokumen legalitasnya (Akta Ikrar Wakaf, sertifikat wakaf, atau bukti setor wakaf uang melalui LKS-PWU); menentukan nilai wajar seluruh aset dan liabilitas entitas wakaf pada tanggal efektif penerapan (fresh start accounting), menggunakan penilai independen bila diperlukan; memisahkan pembukuan entitas wakaf dari pembukuan badan hukum nazhir; serta menyusun kebijakan akuntansi tertulis yang disetujui oleh pengurus dan, bila relevan, dikonsultasikan dengan Dewan Pengawas Syariah.</w:t>
      </w:r>
    </w:p>
    <w:p>
      <w:pPr>
        <w:spacing w:after="200" w:line="300"/>
        <w:jc w:val="both"/>
      </w:pPr>
      <w:r>
        <w:rPr>
          <w:rFonts w:ascii="Calibri" w:cs="Calibri" w:eastAsia="Calibri" w:hAnsi="Calibri"/>
          <w:color w:val="1E293B"/>
          <w:sz w:val="22"/>
          <w:szCs w:val="22"/>
        </w:rPr>
        <w:t xml:space="preserve">Auditor internal maupun eksternal berperan penting dalam memverifikasi kelengkapan dan kewajaran proses penerapan pertama kali ini, termasuk memastikan bahwa penilaian ulang nilai wajar (fresh start) pada entitas wakaf, maupun penyesuaian saldo aset neto awal periode pada badan hukum nazhir, telah didukung dokumentasi yang memadai dan dapat ditelusuri.</w:t>
      </w:r>
    </w:p>
    <w:p>
      <w:pPr>
        <w:pStyle w:val="Heading3"/>
        <w:spacing w:after="120" w:before="240"/>
      </w:pPr>
      <w:r>
        <w:rPr>
          <w:rFonts w:ascii="Calibri" w:cs="Calibri" w:eastAsia="Calibri" w:hAnsi="Calibri"/>
          <w:b/>
          <w:bCs/>
          <w:color w:val="065F46"/>
          <w:sz w:val="24"/>
          <w:szCs w:val="24"/>
        </w:rPr>
        <w:t xml:space="preserve">Peran Sistem Informasi dalam Mendukung Transisi</w:t>
      </w:r>
    </w:p>
    <w:p>
      <w:pPr>
        <w:spacing w:after="200" w:line="300"/>
        <w:jc w:val="both"/>
      </w:pPr>
      <w:r>
        <w:rPr>
          <w:rFonts w:ascii="Calibri" w:cs="Calibri" w:eastAsia="Calibri" w:hAnsi="Calibri"/>
          <w:color w:val="1E293B"/>
          <w:sz w:val="22"/>
          <w:szCs w:val="22"/>
        </w:rPr>
        <w:t xml:space="preserve">Nazhir yang mengelola aset wakaf dalam jumlah dan jenis yang beragam akan sangat terbantu oleh sistem informasi akuntansi yang mampu memisahkan pencatatan entitas wakaf dari entitas badan hukum nazhir secara otomatis, serta menghasilkan laporan rincian aset wakaf menurut jenis dan sumber tanpa perlu rekapitulasi manual. Sejalan dengan perkembangan perpustakaan digital dan aplikasi pengelolaan wakaf yang semakin banyak digunakan oleh nazhir dan LKS-PWU di Indonesia, investasi pada sistem informasi yang selaras dengan struktur akun PSAK 412 sejak awal akan mengurangi risiko kesalahan pencatatan dan mempercepat proses penyusunan laporan pada periode-periode berikutnya.</w:t>
      </w:r>
    </w:p>
    <w:p>
      <w:pPr>
        <w:pStyle w:val="Heading3"/>
        <w:spacing w:after="120" w:before="240"/>
      </w:pPr>
      <w:r>
        <w:rPr>
          <w:rFonts w:ascii="Calibri" w:cs="Calibri" w:eastAsia="Calibri" w:hAnsi="Calibri"/>
          <w:b/>
          <w:bCs/>
          <w:color w:val="065F46"/>
          <w:sz w:val="24"/>
          <w:szCs w:val="24"/>
        </w:rPr>
        <w:t xml:space="preserve">Ilustrasi Hipotetis — Ringkasan Studi Kasus Penerapan Pertama Kali</w:t>
      </w:r>
    </w:p>
    <w:p>
      <w:pPr>
        <w:spacing w:after="200" w:line="300"/>
        <w:jc w:val="both"/>
      </w:pPr>
      <w:r>
        <w:rPr>
          <w:rFonts w:ascii="Calibri" w:cs="Calibri" w:eastAsia="Calibri" w:hAnsi="Calibri"/>
          <w:color w:val="1E293B"/>
          <w:sz w:val="22"/>
          <w:szCs w:val="22"/>
        </w:rPr>
        <w:t xml:space="preserve">Ilustrasi Hipotetis: Sebuah nazhir badan hukum yang telah mengelola aset wakaf sejak beberapa tahun sebelumnya, namun baru menyusun laporan keuangan entitas wakaf sesuai PSAK 412 pada tahun berjalan, melakukan penilaian ulang menyeluruh (fresh start accounting) dan menemukan bahwa nilai wajar seluruh aset wakaf yang dikelolanya pada tanggal efektif penerapan adalah Rp2.100.000.000, tanpa liabilitas wakaf temporer pada tanggal tersebut, sehingga seluruhnya diakui sebagai aset neto wakaf awal entitas wakaf yang seolah-olah baru dibentuk pada tanggal tersebut. Pada pembukuan badan hukum nazhir itu sendiri (bukan entitas wakafnya), dampak perubahan pengaturan diakui pada saldo aset neto awal periode sajian, dengan laporan keuangan periode sebelumnya disajikan kembali untuk tujuan komparatif, disertai pengungkapan pada catatan atas laporan keuangan yang menjelaskan dasar penilaian ulang tersebut, termasuk nama penilai independen yang digunakan dan tanggal penilaian.</w:t>
      </w:r>
    </w:p>
    <w:p>
      <w:pPr>
        <w:spacing w:after="100" w:before="1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CHECKLIST — Langkah Penerapan Pertama Kali PSAK 412</w:t>
            </w:r>
          </w:p>
          <w:p>
            <w:pPr>
              <w:spacing w:after="0" w:line="280"/>
              <w:jc w:val="both"/>
            </w:pPr>
            <w:r>
              <w:rPr>
                <w:rFonts w:ascii="Calibri" w:cs="Calibri" w:eastAsia="Calibri" w:hAnsi="Calibri"/>
                <w:color w:val="1E293B"/>
                <w:sz w:val="21"/>
                <w:szCs w:val="21"/>
              </w:rPr>
              <w:t xml:space="preserve">1) Inventarisasi seluruh aset wakaf dan dokumen legalitasnya. 2) Untuk entitas wakaf: nilai ulang seluruh aset dan liabilitas pada nilai wajar tanggal efektif (fresh start accounting). 3) Untuk badan hukum nazhir: akui dampak pada saldo aset neto awal periode sajian dan sajikan kembali laporan periode sebelumnya. 4) Pisahkan pembukuan entitas wakaf dari pembukuan badan hukum nazhir. 5) Susun kebijakan akuntansi tertulis yang disahkan pengurus. 6) Libatkan Dewan Pengawas Syariah dan auditor untuk verifikasi.</w:t>
            </w:r>
          </w:p>
        </w:tc>
      </w:tr>
    </w:tbl>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Ketentuan transisi PSAK 412 berbeda menurut jenis entitas: prospektif dengan penyajian kembali (tanpa laporan posisi keuangan ketiga) bagi badan hukum nazhir; fresh start accounting bagi entitas wakaf; dan prospektif sederhana bagi wakif.</w:t>
            </w:r>
          </w:p>
          <w:p>
            <w:pPr>
              <w:pStyle w:val="ListParagraph"/>
              <w:numPr>
                <w:ilvl w:val="0"/>
                <w:numId w:val="1"/>
              </w:numPr>
              <w:spacing w:after="80"/>
            </w:pPr>
            <w:r>
              <w:rPr>
                <w:rFonts w:ascii="Calibri" w:cs="Calibri" w:eastAsia="Calibri" w:hAnsi="Calibri"/>
                <w:color w:val="1E293B"/>
                <w:sz w:val="21"/>
                <w:szCs w:val="21"/>
              </w:rPr>
              <w:t xml:space="preserve">Fresh start accounting memperlakukan entitas wakaf seolah-olah baru dibentuk pada tanggal efektif, dengan aset dan liabilitas diukur ulang pada nilai wajar tanggal tersebut.</w:t>
            </w:r>
          </w:p>
          <w:p>
            <w:pPr>
              <w:pStyle w:val="ListParagraph"/>
              <w:numPr>
                <w:ilvl w:val="0"/>
                <w:numId w:val="1"/>
              </w:numPr>
              <w:spacing w:after="80"/>
            </w:pPr>
            <w:r>
              <w:rPr>
                <w:rFonts w:ascii="Calibri" w:cs="Calibri" w:eastAsia="Calibri" w:hAnsi="Calibri"/>
                <w:color w:val="1E293B"/>
                <w:sz w:val="21"/>
                <w:szCs w:val="21"/>
              </w:rPr>
              <w:t xml:space="preserve">Entitas yang baru menerapkan PSAK 412 perlu melakukan inventarisasi aset, penilaian ulang nilai wajar, pemisahan pembukuan, dan penyusunan kebijakan akuntansi tertulis yang diverifikasi auditor.</w:t>
            </w:r>
          </w:p>
        </w:tc>
      </w:tr>
    </w:tbl>
    <w:p>
      <w:pPr>
        <w:pageBreakBefore/>
        <w:spacing w:after="80"/>
      </w:pPr>
      <w:r>
        <w:rPr>
          <w:rFonts w:ascii="Calibri" w:cs="Calibri" w:eastAsia="Calibri" w:hAnsi="Calibri"/>
          <w:b/>
          <w:bCs/>
          <w:caps/>
          <w:color w:val="64748B"/>
          <w:sz w:val="22"/>
          <w:szCs w:val="22"/>
        </w:rPr>
        <w:t xml:space="preserve">BAB 9</w:t>
      </w:r>
    </w:p>
    <w:p>
      <w:pPr>
        <w:pStyle w:val="Heading1"/>
        <w:spacing w:after="400" w:before="200"/>
      </w:pPr>
      <w:r>
        <w:rPr>
          <w:rFonts w:ascii="Calibri" w:cs="Calibri" w:eastAsia="Calibri" w:hAnsi="Calibri"/>
          <w:b/>
          <w:bCs/>
          <w:color w:val="065F46"/>
          <w:sz w:val="40"/>
          <w:szCs w:val="40"/>
        </w:rPr>
        <w:t xml:space="preserve">Lampiran A — Contoh Komprehensif Laporan Keuangan Entitas Wakaf</w:t>
      </w:r>
    </w:p>
    <w:p>
      <w:pPr>
        <w:spacing w:after="200" w:line="300"/>
        <w:jc w:val="both"/>
      </w:pPr>
      <w:r>
        <w:rPr>
          <w:rFonts w:ascii="Calibri" w:cs="Calibri" w:eastAsia="Calibri" w:hAnsi="Calibri"/>
          <w:color w:val="1E293B"/>
          <w:sz w:val="22"/>
          <w:szCs w:val="22"/>
        </w:rPr>
        <w:t xml:space="preserve">Lampiran ini menyajikan contoh komprehensif satu set lengkap laporan keuangan entitas wakaf yang disusun sesuai struktur PSAK 412, dikembangkan dari ilustrasi-ilustrasi pada Bab 7 dengan skala transaksi yang lebih luas agar mendekati kompleksitas nazhir badan hukum yang mengelola wakaf dari beberapa wakif sekaligus. Seluruh nama entitas, wakif, dan angka bersifat fiktif serta hipotetis, disusun semata-mata untuk keperluan peragaan format penyajian, bukan mencerminkan kondisi keuangan entitas nyata mana pun.</w:t>
      </w:r>
    </w:p>
    <w:p>
      <w:pPr>
        <w:pStyle w:val="Heading3"/>
        <w:spacing w:after="120" w:before="240"/>
      </w:pPr>
      <w:r>
        <w:rPr>
          <w:rFonts w:ascii="Calibri" w:cs="Calibri" w:eastAsia="Calibri" w:hAnsi="Calibri"/>
          <w:b/>
          <w:bCs/>
          <w:color w:val="065F46"/>
          <w:sz w:val="24"/>
          <w:szCs w:val="24"/>
        </w:rPr>
        <w:t xml:space="preserve">Latar Belakang Kasus Ilustratif</w:t>
      </w:r>
    </w:p>
    <w:p>
      <w:pPr>
        <w:spacing w:after="200" w:line="300"/>
        <w:jc w:val="both"/>
      </w:pPr>
      <w:r>
        <w:rPr>
          <w:rFonts w:ascii="Calibri" w:cs="Calibri" w:eastAsia="Calibri" w:hAnsi="Calibri"/>
          <w:color w:val="1E293B"/>
          <w:sz w:val="22"/>
          <w:szCs w:val="22"/>
        </w:rPr>
        <w:t xml:space="preserve">Ilustrasi Hipotetis: Yayasan Nazhir Amanah Sejahtera (nama fiktif) adalah nazhir berbadan hukum berbentuk yayasan yang telah dikukuhkan sesuai Undang-Undang Nomor 41 Tahun 2004, mengelola aset wakaf dari tiga wakif berbeda: (1) Bapak Fiktif A, yang mewakafkan tanah secara permanen untuk pembangunan sekolah; (2) PT Fiktif B, badan usaha yang mewakafkan uang secara temporer selama tiga tahun untuk mendukung klinik kesehatan; dan (3) Yayasan Fiktif C, yang mewakafkan uang secara permanen untuk dana abadi pendidikan. Laporan keuangan berikut disusun untuk periode pelaporan tahun berjalan, dengan saldo awal periode sebesar nihil karena diasumsikan sebagai tahun pertama penerapan penuh PSAK 412 oleh entitas wakaf ini.</w:t>
      </w:r>
    </w:p>
    <w:p>
      <w:pPr>
        <w:spacing w:after="120" w:before="200"/>
      </w:pPr>
      <w:r>
        <w:rPr>
          <w:rFonts w:ascii="Calibri" w:cs="Calibri" w:eastAsia="Calibri" w:hAnsi="Calibri"/>
          <w:b/>
          <w:bCs/>
          <w:color w:val="065F46"/>
          <w:sz w:val="22"/>
          <w:szCs w:val="22"/>
        </w:rPr>
        <w:t xml:space="preserve">Ilustrasi Hipotetis — Subledger Internal Aset Wakaf per Wakif (pelengkap sukarela, bukan format wajib PSAK 412)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3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Aspek</w:t>
            </w:r>
          </w:p>
        </w:tc>
        <w:tc>
          <w:tcPr>
            <w:tcW w:type="pct" w:w="65%"/>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Keterangan</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Bapak Fiktif A (Wakaf Permanen)</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Tanah untuk sekolah, nilai wajar Rp900.000.000; bangunan sekolah dibangun di atasnya senilai Rp300.000.000 (neto penyusutan Rp270.000.000), didanai sebagian dari utang kontraktor Rp20.000.000 — tercatat sebagai bagian Aset Neto Wakaf</w:t>
            </w:r>
          </w:p>
        </w:tc>
      </w:tr>
      <w:tr>
        <w:trPr>
          <w:cantSplit/>
        </w:trPr>
        <w:tc>
          <w:tcPr>
            <w:tcW w:type="pct" w:w="35%"/>
            <w:tcMar>
              <w:top w:type="dxa" w:w="120"/>
              <w:left w:type="dxa" w:w="150"/>
              <w:bottom w:type="dxa" w:w="120"/>
              <w:right w:type="dxa" w:w="150"/>
            </w:tcMar>
          </w:tcPr>
          <w:p>
            <w:r>
              <w:rPr>
                <w:rFonts w:ascii="Calibri" w:cs="Calibri" w:eastAsia="Calibri" w:hAnsi="Calibri"/>
                <w:color w:val="1E293B"/>
                <w:sz w:val="20"/>
                <w:szCs w:val="20"/>
              </w:rPr>
              <w:t xml:space="preserve">PT Fiktif B (Wakaf Temporer, 3 tahun)</w:t>
            </w:r>
          </w:p>
        </w:tc>
        <w:tc>
          <w:tcPr>
            <w:tcW w:type="pct" w:w="65%"/>
            <w:tcMar>
              <w:top w:type="dxa" w:w="120"/>
              <w:left w:type="dxa" w:w="150"/>
              <w:bottom w:type="dxa" w:w="120"/>
              <w:right w:type="dxa" w:w="150"/>
            </w:tcMar>
          </w:tcPr>
          <w:p>
            <w:r>
              <w:rPr>
                <w:rFonts w:ascii="Calibri" w:cs="Calibri" w:eastAsia="Calibri" w:hAnsi="Calibri"/>
                <w:color w:val="1E293B"/>
                <w:sz w:val="20"/>
                <w:szCs w:val="20"/>
              </w:rPr>
              <w:t xml:space="preserve">Wakaf uang Rp255.000.000 — tercatat sebagai Liabilitas Wakaf Temporer, BUKAN bagian Aset Neto Wakaf, karena entitas wakaf berkewajiban mempertanggungjawabkannya sesuai jangka waktu yang disepakati</w:t>
            </w:r>
          </w:p>
        </w:tc>
      </w:tr>
      <w:tr>
        <w:trPr>
          <w:cantSplit/>
        </w:trPr>
        <w:tc>
          <w:tcPr>
            <w:tcW w:type="pct" w:w="3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Yayasan Fiktif C (Wakaf Permanen)</w:t>
            </w:r>
          </w:p>
        </w:tc>
        <w:tc>
          <w:tcPr>
            <w:tcW w:type="pct" w:w="65%"/>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Wakaf uang Rp350.000.000 sebagai dana abadi pendidikan; sebagian telah disalurkan Rp4.500.000 untuk beasiswa periode berjalan — tercatat sebagai bagian Aset Neto Wakaf</w:t>
            </w:r>
          </w:p>
        </w:tc>
      </w:tr>
    </w:tbl>
    <w:p>
      <w:pPr>
        <w:spacing w:after="120" w:before="200"/>
      </w:pPr>
      <w:r>
        <w:rPr>
          <w:rFonts w:ascii="Calibri" w:cs="Calibri" w:eastAsia="Calibri" w:hAnsi="Calibri"/>
          <w:b/>
          <w:bCs/>
          <w:color w:val="065F46"/>
          <w:sz w:val="22"/>
          <w:szCs w:val="22"/>
        </w:rPr>
        <w:t xml:space="preserve">Ilustrasi Hipotetis — Laporan Posisi Keuangan Entitas Wakaf Yayasan Nazhir Amanah Sejahtera (per 31 Desember, dalam Rupiah)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6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Akun</w:t>
            </w:r>
          </w:p>
        </w:tc>
        <w:tc>
          <w:tcPr>
            <w:tcW w:type="pct" w:w="4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Jumlah (Rp)</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Kas dan Setara Kas Wakaf</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185.000.000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Investasi Wakaf — Deposito dan Sukuk Syariah</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150.000.000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Aset Tidak Bergerak Wakaf — Tanah</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900.000.000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Tidak Bergerak Wakaf — Bangunan (neto penyusutan)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270.000.000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Total Aset Wakaf</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1.505.000.000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LIABILITAS</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Utang kepada Kontraktor Pembangunan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20.000.000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Liabilitas Wakaf Temporer — Wakaf Uang (PT Fiktif B, jangka pendek, jatuh tempo dalam 3 tahun)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255.000.000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Total Liabilitas</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275.000.000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NETO WAKAF</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1.230.000.000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Total Liabilitas dan Aset Neto Wakaf</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1.505.000.000</w:t>
            </w:r>
          </w:p>
        </w:tc>
      </w:tr>
    </w:tbl>
    <w:p>
      <w:pPr>
        <w:spacing w:after="120" w:before="200"/>
      </w:pPr>
      <w:r>
        <w:rPr>
          <w:rFonts w:ascii="Calibri" w:cs="Calibri" w:eastAsia="Calibri" w:hAnsi="Calibri"/>
          <w:b/>
          <w:bCs/>
          <w:color w:val="065F46"/>
          <w:sz w:val="22"/>
          <w:szCs w:val="22"/>
        </w:rPr>
        <w:t xml:space="preserve">Ilustrasi Hipotetis — Laporan Aktivitas Entitas Wakaf (periode satu tahun, dalam Rupiah)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6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Uraian</w:t>
            </w:r>
          </w:p>
        </w:tc>
        <w:tc>
          <w:tcPr>
            <w:tcW w:type="pct" w:w="4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Jumlah (Rp)</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Neto Awal Periode</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Penerimaan Wakaf Tanah (Bapak Fiktif A — Permanen)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900.000.000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Penerimaan Wakaf Uang (Yayasan Fiktif C — Permanen)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350.000.000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Hasil Pengelolaan Investasi dan Sewa Bangunan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18.000.000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Bagian Nazhir atas Hasil Pengelolaan (Ujrah, maks. 10%)</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(1.800.000)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Jumlah Penghasilan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1.266.200.000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Beban Penyusutan Bangunan Wakaf</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(30.000.000)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Penyaluran kepada Mauquf 'Alaih — Program Pendidikan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(4.500.000)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Penyaluran kepada Mauquf 'Alaih — Program Kesehatan</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(1.700.000)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Jumlah Beban</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(36.200.000)</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Kenaikan Aset Neto</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1.230.000.000</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Aset Neto Akhir Periode</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1.230.000.000</w:t>
            </w:r>
          </w:p>
        </w:tc>
      </w:tr>
    </w:tbl>
    <w:p>
      <w:pPr>
        <w:pStyle w:val="Heading3"/>
        <w:spacing w:after="120" w:before="240"/>
      </w:pPr>
      <w:r>
        <w:rPr>
          <w:rFonts w:ascii="Calibri" w:cs="Calibri" w:eastAsia="Calibri" w:hAnsi="Calibri"/>
          <w:b/>
          <w:bCs/>
          <w:color w:val="065F46"/>
          <w:sz w:val="24"/>
          <w:szCs w:val="24"/>
        </w:rPr>
        <w:t xml:space="preserve">Laporan Arus Kas — Ringkasan</w:t>
      </w:r>
    </w:p>
    <w:p>
      <w:pPr>
        <w:spacing w:after="200" w:line="300"/>
        <w:jc w:val="both"/>
      </w:pPr>
      <w:r>
        <w:rPr>
          <w:rFonts w:ascii="Calibri" w:cs="Calibri" w:eastAsia="Calibri" w:hAnsi="Calibri"/>
          <w:color w:val="1E293B"/>
          <w:sz w:val="22"/>
          <w:szCs w:val="22"/>
        </w:rPr>
        <w:t xml:space="preserve">Ilustrasi Hipotetis: Arus kas dari aktivitas operasi entitas wakaf pada periode ini mencerminkan penerimaan wakaf permanen sebesar Rp350.000.000 (Yayasan Fiktif C) dan penerimaan hasil investasi serta sewa Rp18.000.000, dikurangi pembayaran ujrah nazhir Rp1.800.000 dan penyaluran manfaat Rp6.200.000. Penerimaan wakaf uang temporer dari PT Fiktif B sebesar Rp255.000.000, karena diakui sebagai liabilitas, secara konsisten diklasifikasikan sebagai arus kas dari aktivitas pendanaan, bukan aktivitas operasi. Arus kas dari aktivitas investasi mencerminkan penempatan dana pada deposito dan sukuk syariah sebesar Rp150.000.000 serta pembangunan bangunan sekolah senilai Rp300.000.000 (didanai sebagian dari kas wakaf dan sebagian dari utang kontraktor Rp20.000.000 yang belum dibayar pada akhir periode).</w:t>
      </w:r>
    </w:p>
    <w:p>
      <w:pPr>
        <w:pStyle w:val="Heading3"/>
        <w:spacing w:after="120" w:before="240"/>
      </w:pPr>
      <w:r>
        <w:rPr>
          <w:rFonts w:ascii="Calibri" w:cs="Calibri" w:eastAsia="Calibri" w:hAnsi="Calibri"/>
          <w:b/>
          <w:bCs/>
          <w:color w:val="065F46"/>
          <w:sz w:val="24"/>
          <w:szCs w:val="24"/>
        </w:rPr>
        <w:t xml:space="preserve">Catatan atas Laporan Keuangan — Ikhtisar Kebijakan Akuntansi</w:t>
      </w:r>
    </w:p>
    <w:p>
      <w:pPr>
        <w:spacing w:after="200" w:line="300"/>
        <w:jc w:val="both"/>
      </w:pPr>
      <w:r>
        <w:rPr>
          <w:rFonts w:ascii="Calibri" w:cs="Calibri" w:eastAsia="Calibri" w:hAnsi="Calibri"/>
          <w:color w:val="1E293B"/>
          <w:sz w:val="22"/>
          <w:szCs w:val="22"/>
        </w:rPr>
        <w:t xml:space="preserve">Ilustrasi Hipotetis: Catatan atas laporan keuangan Yayasan Nazhir Amanah Sejahtera mengungkapkan antara lain: (1) laporan keuangan disusun berdasarkan PSAK 412: Akuntansi Wakaf dan PSAK 101: Penyajian Laporan Keuangan Syariah; (2) aset wakaf tidak bergerak diukur pada pengakuan awal sebesar nilai wajar berdasarkan penilaian independen bertanggal sesuai tanggal ikrar wakaf; (3) bangunan wakaf disusutkan menggunakan metode garis lurus selama sepuluh tahun sesuai estimasi masa manfaat, mengikuti PSAK 16: Aset Tetap; (4) ujrah nazhir dihitung maksimal 10% dari hasil bersih pengelolaan wakaf sesuai Peraturan Badan Wakaf Indonesia Nomor 1 Tahun 2020; (5) wakaf uang temporer dari PT Fiktif B diakui sebagai liabilitas jangka pendek sebesar nilai nominal, sesuai ketentuan resmi PSAK 412 bahwa wakaf berjangka waktu diakui sebagai liabilitas; (6) entitas wakaf tidak dikonsolidasikan ke laporan keuangan badan hukum Yayasan Nazhir Amanah Sejahtera, sesuai prinsip PSAK 412 sebagaimana dibahas pada Bab 3.</w:t>
      </w:r>
    </w:p>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Contoh komprehensif ini menunjukkan bagaimana kelima komponen laporan keuangan entitas wakaf — posisi keuangan, aktivitas, arus kas, rincian aset, dan catatan — saling terkait dan harus rekonsiliasi satu sama lain.</w:t>
            </w:r>
          </w:p>
          <w:p>
            <w:pPr>
              <w:pStyle w:val="ListParagraph"/>
              <w:numPr>
                <w:ilvl w:val="0"/>
                <w:numId w:val="1"/>
              </w:numPr>
              <w:spacing w:after="80"/>
            </w:pPr>
            <w:r>
              <w:rPr>
                <w:rFonts w:ascii="Calibri" w:cs="Calibri" w:eastAsia="Calibri" w:hAnsi="Calibri"/>
                <w:color w:val="1E293B"/>
                <w:sz w:val="21"/>
                <w:szCs w:val="21"/>
              </w:rPr>
              <w:t xml:space="preserve">Wakaf temporer (PT Fiktif B) tercatat sebagai liabilitas, bukan bagian aset neto, sehingga tidak muncul pada laporan aktivitas sebagai penghasilan, berbeda dari wakaf permanen (Bapak Fiktif A dan Yayasan Fiktif C).</w:t>
            </w:r>
          </w:p>
          <w:p>
            <w:pPr>
              <w:pStyle w:val="ListParagraph"/>
              <w:numPr>
                <w:ilvl w:val="0"/>
                <w:numId w:val="1"/>
              </w:numPr>
              <w:spacing w:after="80"/>
            </w:pPr>
            <w:r>
              <w:rPr>
                <w:rFonts w:ascii="Calibri" w:cs="Calibri" w:eastAsia="Calibri" w:hAnsi="Calibri"/>
                <w:color w:val="1E293B"/>
                <w:sz w:val="21"/>
                <w:szCs w:val="21"/>
              </w:rPr>
              <w:t xml:space="preserve">Seluruh nama entitas, wakif, dan angka pada lampiran ini bersifat fiktif dan hipotetis, disusun semata untuk keperluan peragaan format penyajian laporan keuangan.</w:t>
            </w:r>
          </w:p>
        </w:tc>
      </w:tr>
    </w:tbl>
    <w:p>
      <w:pPr>
        <w:pageBreakBefore/>
        <w:spacing w:after="80"/>
      </w:pPr>
      <w:r>
        <w:rPr>
          <w:rFonts w:ascii="Calibri" w:cs="Calibri" w:eastAsia="Calibri" w:hAnsi="Calibri"/>
          <w:b/>
          <w:bCs/>
          <w:caps/>
          <w:color w:val="64748B"/>
          <w:sz w:val="22"/>
          <w:szCs w:val="22"/>
        </w:rPr>
        <w:t xml:space="preserve">BAB 10</w:t>
      </w:r>
    </w:p>
    <w:p>
      <w:pPr>
        <w:pStyle w:val="Heading1"/>
        <w:spacing w:after="400" w:before="200"/>
      </w:pPr>
      <w:r>
        <w:rPr>
          <w:rFonts w:ascii="Calibri" w:cs="Calibri" w:eastAsia="Calibri" w:hAnsi="Calibri"/>
          <w:b/>
          <w:bCs/>
          <w:color w:val="065F46"/>
          <w:sz w:val="40"/>
          <w:szCs w:val="40"/>
        </w:rPr>
        <w:t xml:space="preserve">Lampiran B — Ilustrasi Kasus Bank Pembiayaan Rakyat Syariah sebagai LKS-PWU dan Nazhir</w:t>
      </w:r>
    </w:p>
    <w:p>
      <w:pPr>
        <w:spacing w:after="200" w:line="300"/>
        <w:jc w:val="both"/>
      </w:pPr>
      <w:r>
        <w:rPr>
          <w:rFonts w:ascii="Calibri" w:cs="Calibri" w:eastAsia="Calibri" w:hAnsi="Calibri"/>
          <w:color w:val="1E293B"/>
          <w:sz w:val="22"/>
          <w:szCs w:val="22"/>
        </w:rPr>
        <w:t xml:space="preserve">Lampiran ini menyajikan ilustrasi kasus tambahan yang relevan bagi konteks Bank Pembiayaan Rakyat Syariah (BPRS) — kini bertransisi nomenklatur menjadi Bank Perekonomian Rakyat Syariah sesuai UU P2SK dan POJK No. 7 Tahun 2024 — yang berperan ganda sebagai LKS-PWU sekaligus, pada sebagian struktur, sebagai nazhir wakaf uang. Ilustrasi ini bersifat hipotetis dan dirancang untuk menggambarkan kompleksitas pemisahan pembukuan ketika satu institusi menjalankan fungsi perbankan syariah dan fungsi kelembagaan wakaf sekaligus.</w:t>
      </w:r>
    </w:p>
    <w:p>
      <w:pPr>
        <w:pStyle w:val="Heading3"/>
        <w:spacing w:after="120" w:before="240"/>
      </w:pPr>
      <w:r>
        <w:rPr>
          <w:rFonts w:ascii="Calibri" w:cs="Calibri" w:eastAsia="Calibri" w:hAnsi="Calibri"/>
          <w:b/>
          <w:bCs/>
          <w:color w:val="065F46"/>
          <w:sz w:val="24"/>
          <w:szCs w:val="24"/>
        </w:rPr>
        <w:t xml:space="preserve">Ilustrasi Struktur Fungsi Ganda</w:t>
      </w:r>
    </w:p>
    <w:p>
      <w:pPr>
        <w:spacing w:after="200" w:line="300"/>
        <w:jc w:val="both"/>
      </w:pPr>
      <w:r>
        <w:rPr>
          <w:rFonts w:ascii="Calibri" w:cs="Calibri" w:eastAsia="Calibri" w:hAnsi="Calibri"/>
          <w:color w:val="1E293B"/>
          <w:sz w:val="22"/>
          <w:szCs w:val="22"/>
        </w:rPr>
        <w:t xml:space="preserve">Ilustrasi Hipotetis: BPRS Contoh Sejahtera (nama fiktif) ditunjuk sebagai LKS-PWU oleh Menteri Agama sesuai ketentuan yang berlaku, sehingga berwenang menerima setoran wakaf uang dari wakif atas nama nazhir yang dituju. Pada sebagian program, BPRS Contoh Sejahtera juga bertindak sebagai nazhir melalui unit pengelola wakaf yang dibentuknya sesuai persyaratan pendaftaran nazhir badan hukum kepada BWI. Dalam struktur ini, BPRS Contoh Sejahtera perlu menyelenggarakan tiga rangkaian pembukuan yang terpisah secara tegas: (1) laporan keuangan bank sesuai standar akuntansi perbankan syariah yang berlaku dan diawasi OJK; (2) laporan keuangan badan hukum nazhir yang memuat pendapatan ujrah pengelolaan wakaf; dan (3) laporan keuangan entitas wakaf itu sendiri sesuai PSAK 412.</w:t>
      </w:r>
    </w:p>
    <w:p>
      <w:pPr>
        <w:pStyle w:val="Heading3"/>
        <w:spacing w:after="120" w:before="240"/>
      </w:pPr>
      <w:r>
        <w:rPr>
          <w:rFonts w:ascii="Calibri" w:cs="Calibri" w:eastAsia="Calibri" w:hAnsi="Calibri"/>
          <w:b/>
          <w:bCs/>
          <w:color w:val="065F46"/>
          <w:sz w:val="24"/>
          <w:szCs w:val="24"/>
        </w:rPr>
        <w:t xml:space="preserve">Alur Transaksi Wakaf Uang melalui LKS-PWU</w:t>
      </w:r>
    </w:p>
    <w:p>
      <w:pPr>
        <w:spacing w:after="200" w:line="300"/>
        <w:jc w:val="both"/>
      </w:pPr>
      <w:r>
        <w:rPr>
          <w:rFonts w:ascii="Calibri" w:cs="Calibri" w:eastAsia="Calibri" w:hAnsi="Calibri"/>
          <w:color w:val="1E293B"/>
          <w:sz w:val="22"/>
          <w:szCs w:val="22"/>
        </w:rPr>
        <w:t xml:space="preserve">Ilustrasi Hipotetis: Seorang wakif menyetorkan wakaf uang sebesar Rp25.000.000 melalui loket BPRS Contoh Sejahtera selaku LKS-PWU, ditujukan kepada nazhir unit pengelola wakaf BPRS Contoh Sejahtera sendiri, dengan status wakaf permanen sesuai Akta Ikrar Wakaf. Pada tahap penerimaan sebagai LKS-PWU, BPRS mencatat dana tersebut sebagai titipan (dana kelolaan pihak ketiga) yang belum menjadi milik bank maupun aset wakaf sampai diverifikasi dan diteruskan kepada nazhir yang dituju beserta penerbitan Sertifikat Wakaf Uang. Setelah verifikasi selesai dan sertifikat diterbitkan, dana tersebut direklasifikasi menjadi penerimaan aset wakaf pada pembukuan entitas wakaf: Kas Wakaf (debit) Rp25.000.000, Aset Neto Wakaf (kredit) Rp25.000.000, sementara pada pembukuan bank, akun titipan LKS-PWU yang bersangkutan dihapuskan seiring penyerahan dana kepada entitas wakaf. Apabila wakaf yang disetorkan berstatus temporer, sisi kredit jurnal pada entitas wakaf dicatat sebagai Liabilitas Wakaf Temporer, bukan Aset Neto Wakaf, sebagaimana dibahas pada Bab 5 dan diilustrasikan pada Lampiran A.</w:t>
      </w:r>
    </w:p>
    <w:p>
      <w:pPr>
        <w:spacing w:after="120" w:before="200"/>
      </w:pPr>
      <w:r>
        <w:rPr>
          <w:rFonts w:ascii="Calibri" w:cs="Calibri" w:eastAsia="Calibri" w:hAnsi="Calibri"/>
          <w:b/>
          <w:bCs/>
          <w:color w:val="065F46"/>
          <w:sz w:val="22"/>
          <w:szCs w:val="22"/>
        </w:rPr>
        <w:t xml:space="preserve">Ilustrasi Hipotetis — Pemisahan Tiga Lapis Pembukuan pada BPRS Berfungsi Ganda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6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Lapisan Pembukuan</w:t>
            </w:r>
          </w:p>
        </w:tc>
        <w:tc>
          <w:tcPr>
            <w:tcW w:type="pct" w:w="40%"/>
            <w:shd w:fill="065F46" w:color="auto" w:val="clear"/>
            <w:tcMar>
              <w:top w:type="dxa" w:w="120"/>
              <w:left w:type="dxa" w:w="150"/>
              <w:bottom w:type="dxa" w:w="120"/>
              <w:right w:type="dxa" w:w="150"/>
            </w:tcMar>
          </w:tcPr>
          <w:p>
            <w:r>
              <w:rPr>
                <w:rFonts w:ascii="Calibri" w:cs="Calibri" w:eastAsia="Calibri" w:hAnsi="Calibri"/>
                <w:b/>
                <w:bCs/>
                <w:color w:val="FFFFFF"/>
                <w:sz w:val="20"/>
                <w:szCs w:val="20"/>
              </w:rPr>
              <w:t xml:space="preserve">Cakupan dan Standar Acuan</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Laporan Keuangan Bank (BPRS)</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liabilitas, dan ekuitas bank sesuai standar akuntansi perbankan syariah, diawasi OJK sesuai POJK No. 26/2022 jo. POJK No. 7/2024</w:t>
            </w:r>
          </w:p>
        </w:tc>
      </w:tr>
      <w:tr>
        <w:trPr>
          <w:cantSplit/>
        </w:trPr>
        <w:tc>
          <w:tcPr>
            <w:tcW w:type="pct" w:w="60%"/>
            <w:tcMar>
              <w:top w:type="dxa" w:w="120"/>
              <w:left w:type="dxa" w:w="150"/>
              <w:bottom w:type="dxa" w:w="120"/>
              <w:right w:type="dxa" w:w="150"/>
            </w:tcMar>
          </w:tcPr>
          <w:p>
            <w:r>
              <w:rPr>
                <w:rFonts w:ascii="Calibri" w:cs="Calibri" w:eastAsia="Calibri" w:hAnsi="Calibri"/>
                <w:color w:val="1E293B"/>
                <w:sz w:val="20"/>
                <w:szCs w:val="20"/>
              </w:rPr>
              <w:t xml:space="preserve">Laporan Keuangan Badan Hukum Nazhir</w:t>
            </w:r>
          </w:p>
        </w:tc>
        <w:tc>
          <w:tcPr>
            <w:tcW w:type="pct" w:w="40%"/>
            <w:tcMar>
              <w:top w:type="dxa" w:w="120"/>
              <w:left w:type="dxa" w:w="150"/>
              <w:bottom w:type="dxa" w:w="120"/>
              <w:right w:type="dxa" w:w="150"/>
            </w:tcMar>
          </w:tcPr>
          <w:p>
            <w:r>
              <w:rPr>
                <w:rFonts w:ascii="Calibri" w:cs="Calibri" w:eastAsia="Calibri" w:hAnsi="Calibri"/>
                <w:color w:val="1E293B"/>
                <w:sz w:val="20"/>
                <w:szCs w:val="20"/>
              </w:rPr>
              <w:t xml:space="preserve">Pendapatan ujrah/hak amil dari pengelolaan wakaf, beban operasional unit pengelola wakaf, tidak termasuk aset wakaf itu sendiri</w:t>
            </w:r>
          </w:p>
        </w:tc>
      </w:tr>
      <w:tr>
        <w:trPr>
          <w:cantSplit/>
        </w:trPr>
        <w:tc>
          <w:tcPr>
            <w:tcW w:type="pct" w:w="6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Laporan Keuangan Entitas Wakaf</w:t>
            </w:r>
          </w:p>
        </w:tc>
        <w:tc>
          <w:tcPr>
            <w:tcW w:type="pct" w:w="40%"/>
            <w:shd w:fill="ECFDF5" w:color="auto" w:val="clear"/>
            <w:tcMar>
              <w:top w:type="dxa" w:w="120"/>
              <w:left w:type="dxa" w:w="150"/>
              <w:bottom w:type="dxa" w:w="120"/>
              <w:right w:type="dxa" w:w="150"/>
            </w:tcMar>
          </w:tcPr>
          <w:p>
            <w:r>
              <w:rPr>
                <w:rFonts w:ascii="Calibri" w:cs="Calibri" w:eastAsia="Calibri" w:hAnsi="Calibri"/>
                <w:color w:val="1E293B"/>
                <w:sz w:val="20"/>
                <w:szCs w:val="20"/>
              </w:rPr>
              <w:t xml:space="preserve">Aset wakaf, aset neto wakaf, dan seluruh transaksi terkait pengelolaan wakaf sesuai PSAK 412, tidak dikonsolidasikan ke dua lapisan di atas</w:t>
            </w:r>
          </w:p>
        </w:tc>
      </w:tr>
    </w:tbl>
    <w:p>
      <w:pPr>
        <w:pStyle w:val="Heading3"/>
        <w:spacing w:after="120" w:before="240"/>
      </w:pPr>
      <w:r>
        <w:rPr>
          <w:rFonts w:ascii="Calibri" w:cs="Calibri" w:eastAsia="Calibri" w:hAnsi="Calibri"/>
          <w:b/>
          <w:bCs/>
          <w:color w:val="065F46"/>
          <w:sz w:val="24"/>
          <w:szCs w:val="24"/>
        </w:rPr>
        <w:t xml:space="preserve">Risiko dan Mitigasi dalam Struktur Fungsi Ganda</w:t>
      </w:r>
    </w:p>
    <w:p>
      <w:pPr>
        <w:spacing w:after="200" w:line="300"/>
        <w:jc w:val="both"/>
      </w:pPr>
      <w:r>
        <w:rPr>
          <w:rFonts w:ascii="Calibri" w:cs="Calibri" w:eastAsia="Calibri" w:hAnsi="Calibri"/>
          <w:color w:val="1E293B"/>
          <w:sz w:val="22"/>
          <w:szCs w:val="22"/>
        </w:rPr>
        <w:t xml:space="preserve">Ilustrasi Hipotetis: Risiko utama dalam struktur fungsi ganda semacam ini adalah tercampurnya likuiditas bank dengan kas wakaf, terutama pada masa transisi antara penerimaan dana sebagai LKS-PWU dan penyerahan formal kepada entitas wakaf. Mitigasi yang lazim diterapkan mencakup penggunaan rekening giro/tabungan terpisah khusus untuk dana titipan LKS-PWU yang belum diserahkan, batas waktu maksimal pemrosesan verifikasi dan penerbitan Sertifikat Wakaf Uang, serta rekonsiliasi berkala antara catatan LKS-PWU dan catatan entitas wakaf yang direviu oleh Dewan Pengawas Syariah dan satuan kerja audit internal bank.</w:t>
      </w:r>
    </w:p>
    <w:p>
      <w:pPr>
        <w:spacing w:after="100" w:before="200"/>
      </w:pPr>
    </w:p>
    <w:tbl>
      <w:tblPr>
        <w:tblW w:type="pct" w:w="100%"/>
        <w:tblBorders>
          <w:top w:val="single" w:color="065F46" w:sz="8"/>
          <w:left w:val="single" w:color="065F46" w:sz="8"/>
          <w:bottom w:val="single" w:color="065F46" w:sz="8"/>
          <w:right w:val="single" w:color="065F46" w:sz="8"/>
          <w:insideH w:val="none" w:color="FFFFFF" w:sz="0"/>
          <w:insideV w:val="none" w:color="FFFFFF" w:sz="0"/>
        </w:tblBorders>
      </w:tblPr>
      <w:tblGrid>
        <w:gridCol w:w="100"/>
      </w:tblGrid>
      <w:tr>
        <w:trPr>
          <w:cantSplit/>
        </w:trPr>
        <w:tc>
          <w:tcPr>
            <w:shd w:fill="ECFDF5" w:color="auto" w:val="clear"/>
            <w:tcMar>
              <w:top w:type="dxa" w:w="200"/>
              <w:left w:type="dxa" w:w="200"/>
              <w:bottom w:type="dxa" w:w="200"/>
              <w:right w:type="dxa" w:w="200"/>
            </w:tcMar>
          </w:tcPr>
          <w:p>
            <w:pPr>
              <w:spacing w:after="120"/>
            </w:pPr>
            <w:r>
              <w:rPr>
                <w:rFonts w:ascii="Calibri" w:cs="Calibri" w:eastAsia="Calibri" w:hAnsi="Calibri"/>
                <w:b/>
                <w:bCs/>
                <w:color w:val="065F46"/>
                <w:sz w:val="22"/>
                <w:szCs w:val="22"/>
              </w:rPr>
              <w:t xml:space="preserve">Ringkasan Poin Kunci</w:t>
            </w:r>
          </w:p>
          <w:p>
            <w:pPr>
              <w:pStyle w:val="ListParagraph"/>
              <w:numPr>
                <w:ilvl w:val="0"/>
                <w:numId w:val="1"/>
              </w:numPr>
              <w:spacing w:after="80"/>
            </w:pPr>
            <w:r>
              <w:rPr>
                <w:rFonts w:ascii="Calibri" w:cs="Calibri" w:eastAsia="Calibri" w:hAnsi="Calibri"/>
                <w:color w:val="1E293B"/>
                <w:sz w:val="21"/>
                <w:szCs w:val="21"/>
              </w:rPr>
              <w:t xml:space="preserve">BPRS yang berperan ganda sebagai LKS-PWU dan nazhir perlu menyelenggarakan tiga lapis pembukuan yang terpisah: laporan keuangan bank, laporan keuangan badan hukum nazhir, dan laporan keuangan entitas wakaf.</w:t>
            </w:r>
          </w:p>
          <w:p>
            <w:pPr>
              <w:pStyle w:val="ListParagraph"/>
              <w:numPr>
                <w:ilvl w:val="0"/>
                <w:numId w:val="1"/>
              </w:numPr>
              <w:spacing w:after="80"/>
            </w:pPr>
            <w:r>
              <w:rPr>
                <w:rFonts w:ascii="Calibri" w:cs="Calibri" w:eastAsia="Calibri" w:hAnsi="Calibri"/>
                <w:color w:val="1E293B"/>
                <w:sz w:val="21"/>
                <w:szCs w:val="21"/>
              </w:rPr>
              <w:t xml:space="preserve">Dana wakaf uang yang diterima melalui LKS-PWU dicatat sebagai titipan hingga diverifikasi dan diserahkan kepada nazhir yang dituju, baru kemudian diakui sebagai aset wakaf.</w:t>
            </w:r>
          </w:p>
          <w:p>
            <w:pPr>
              <w:pStyle w:val="ListParagraph"/>
              <w:numPr>
                <w:ilvl w:val="0"/>
                <w:numId w:val="1"/>
              </w:numPr>
              <w:spacing w:after="80"/>
            </w:pPr>
            <w:r>
              <w:rPr>
                <w:rFonts w:ascii="Calibri" w:cs="Calibri" w:eastAsia="Calibri" w:hAnsi="Calibri"/>
                <w:color w:val="1E293B"/>
                <w:sz w:val="21"/>
                <w:szCs w:val="21"/>
              </w:rPr>
              <w:t xml:space="preserve">Pemisahan rekening, batas waktu pemrosesan, dan rekonsiliasi berkala menjadi mitigasi utama atas risiko tercampurnya likuiditas bank dan kas wakaf.</w:t>
            </w:r>
          </w:p>
        </w:tc>
      </w:tr>
    </w:tbl>
    <w:p>
      <w:pPr>
        <w:pStyle w:val="Heading1"/>
        <w:pageBreakBefore/>
        <w:spacing w:after="400" w:before="200"/>
      </w:pPr>
      <w:r>
        <w:rPr>
          <w:rFonts w:ascii="Calibri" w:cs="Calibri" w:eastAsia="Calibri" w:hAnsi="Calibri"/>
          <w:b/>
          <w:bCs/>
          <w:color w:val="065F46"/>
          <w:sz w:val="40"/>
          <w:szCs w:val="40"/>
        </w:rPr>
        <w:t xml:space="preserve">Pertanyaan yang Sering Diajukan (FAQ)</w:t>
      </w:r>
    </w:p>
    <w:p>
      <w:pPr>
        <w:spacing w:after="80" w:before="200"/>
      </w:pPr>
      <w:r>
        <w:rPr>
          <w:rFonts w:ascii="Calibri" w:cs="Calibri" w:eastAsia="Calibri" w:hAnsi="Calibri"/>
          <w:b/>
          <w:bCs/>
          <w:color w:val="065F46"/>
          <w:sz w:val="22"/>
          <w:szCs w:val="22"/>
        </w:rPr>
        <w:t xml:space="preserve">T: Apakah seluruh nazhir di Indonesia wajib menerapkan PSAK 412?</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Tidak sepenuhnya demikian. Ruang lingkup nazhir menurut PSAK 412 mencakup seluruh bentuk nazhir — perseorangan, organisasi, maupun badan hukum — sehingga secara prinsip seluruh nazhir termasuk dalam ruang lingkup wajib. Yang dibatasi hanya ruang lingkup wakif, yaitu wakif berbentuk organisasi dan badan hukum; wakif perseorangan tidak termasuk ruang lingkup wajib PSAK 412 dari sisi akuntansi wakif.</w:t>
      </w:r>
    </w:p>
    <w:p>
      <w:pPr>
        <w:spacing w:after="80" w:before="200"/>
      </w:pPr>
      <w:r>
        <w:rPr>
          <w:rFonts w:ascii="Calibri" w:cs="Calibri" w:eastAsia="Calibri" w:hAnsi="Calibri"/>
          <w:b/>
          <w:bCs/>
          <w:color w:val="065F46"/>
          <w:sz w:val="22"/>
          <w:szCs w:val="22"/>
        </w:rPr>
        <w:t xml:space="preserve">T: Bagaimana jika dokumen ikrar wakaf tidak mencantumkan jangka waktu secara eksplisit?</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Prinsip umum perwakafan mengarah pada wakaf permanen (abadi) apabila jangka waktu tidak dinyatakan secara khusus. Nazhir maupun wakif sebaiknya memastikan Akta Ikrar Wakaf mencantumkan jangka waktu secara jelas apabila dimaksudkan sebagai wakaf temporer, untuk menghindari ambiguitas perlakuan akuntansi sebagaimana dibahas pada Bab 5.</w:t>
      </w:r>
    </w:p>
    <w:p>
      <w:pPr>
        <w:spacing w:after="80" w:before="200"/>
      </w:pPr>
      <w:r>
        <w:rPr>
          <w:rFonts w:ascii="Calibri" w:cs="Calibri" w:eastAsia="Calibri" w:hAnsi="Calibri"/>
          <w:b/>
          <w:bCs/>
          <w:color w:val="065F46"/>
          <w:sz w:val="22"/>
          <w:szCs w:val="22"/>
        </w:rPr>
        <w:t xml:space="preserve">T: Bolehkah dana wakaf uang diinvestasikan pada saham syariah?</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Investasi dana wakaf uang pada instrumen syariah, termasuk saham syariah, dimungkinkan sepanjang mengikuti prinsip kehati-hatian dan ketentuan yang berlaku, misalnya keharusan investasi pada produk LKS yang dijamin atau diasuransikan sesuai prinsip syariah. Nazhir sebaiknya berkonsultasi dengan Dewan Pengawas Syariah dan memperhatikan kebijakan Badan Wakaf Indonesia sebelum menempatkan dana wakaf pada instrumen berisiko lebih tinggi seperti saham.</w:t>
      </w:r>
    </w:p>
    <w:p>
      <w:pPr>
        <w:spacing w:after="80" w:before="200"/>
      </w:pPr>
      <w:r>
        <w:rPr>
          <w:rFonts w:ascii="Calibri" w:cs="Calibri" w:eastAsia="Calibri" w:hAnsi="Calibri"/>
          <w:b/>
          <w:bCs/>
          <w:color w:val="065F46"/>
          <w:sz w:val="22"/>
          <w:szCs w:val="22"/>
        </w:rPr>
        <w:t xml:space="preserve">T: Apakah hasil pengelolaan wakaf yang belum disalurkan diakui sebagai liabilitas entitas wakaf?</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Tidak. Hasil pengelolaan yang belum disalurkan tetap merupakan bagian dari aset neto wakaf, bukan liabilitas, karena manfaat tersebut masih menjadi bagian dari harta wakaf yang dikelola nazhir sampai benar-benar disalurkan kepada mauquf 'alaih.</w:t>
      </w:r>
    </w:p>
    <w:p>
      <w:pPr>
        <w:spacing w:after="80" w:before="200"/>
      </w:pPr>
      <w:r>
        <w:rPr>
          <w:rFonts w:ascii="Calibri" w:cs="Calibri" w:eastAsia="Calibri" w:hAnsi="Calibri"/>
          <w:b/>
          <w:bCs/>
          <w:color w:val="065F46"/>
          <w:sz w:val="22"/>
          <w:szCs w:val="22"/>
        </w:rPr>
        <w:t xml:space="preserve">T: Apakah laporan keuangan entitas wakaf wajib diaudit oleh akuntan publik?</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PSAK 412 sendiri tidak mewajibkan audit oleh akuntan publik. Namun, kewajiban audit dapat timbul dari ketentuan lain, misalnya persyaratan Badan Wakaf Indonesia bagi nazhir skala tertentu, atau ketentuan internal LKS-PWU seperti BPRS yang tunduk pada pengawasan Otoritas Jasa Keuangan. Audit tetap direkomendasikan sebagai praktik tata kelola yang baik.</w:t>
      </w:r>
    </w:p>
    <w:p>
      <w:pPr>
        <w:spacing w:after="80" w:before="200"/>
      </w:pPr>
      <w:r>
        <w:rPr>
          <w:rFonts w:ascii="Calibri" w:cs="Calibri" w:eastAsia="Calibri" w:hAnsi="Calibri"/>
          <w:b/>
          <w:bCs/>
          <w:color w:val="065F46"/>
          <w:sz w:val="22"/>
          <w:szCs w:val="22"/>
        </w:rPr>
        <w:t xml:space="preserve">T: Bagaimana jika nilai NJOP tanah wakaf berbeda jauh dari harga pasar sesungguhnya?</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NJOP dapat digunakan sebagai salah satu indikator, namun sebaiknya bukan satu-satunya dasar. Penilaian oleh penilai independen yang mempertimbangkan kondisi pasar aktual pada tanggal penyerahan lebih disarankan untuk mendapatkan nilai wajar yang lebih akurat, sebagaimana dibahas pada Bab 4.</w:t>
      </w:r>
    </w:p>
    <w:p>
      <w:pPr>
        <w:spacing w:after="80" w:before="200"/>
      </w:pPr>
      <w:r>
        <w:rPr>
          <w:rFonts w:ascii="Calibri" w:cs="Calibri" w:eastAsia="Calibri" w:hAnsi="Calibri"/>
          <w:b/>
          <w:bCs/>
          <w:color w:val="065F46"/>
          <w:sz w:val="22"/>
          <w:szCs w:val="22"/>
        </w:rPr>
        <w:t xml:space="preserve">T: Apakah PSAK 412 mengatur perlakuan perpajakan atas wakaf?</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Tidak. PSAK 412 murni mengatur akuntansi keuangan, bukan perpajakan. Perlakuan pajak atas wakaf, termasuk kemungkinan insentif atau pengecualian pajak, diatur tersendiri melalui peraturan perundang-undangan perpajakan yang berlaku, sehingga nazhir sebaiknya berkonsultasi dengan konsultan pajak atau otoritas pajak untuk kepastian lebih lanjut.</w:t>
      </w:r>
    </w:p>
    <w:p>
      <w:pPr>
        <w:spacing w:after="80" w:before="200"/>
      </w:pPr>
      <w:r>
        <w:rPr>
          <w:rFonts w:ascii="Calibri" w:cs="Calibri" w:eastAsia="Calibri" w:hAnsi="Calibri"/>
          <w:b/>
          <w:bCs/>
          <w:color w:val="065F46"/>
          <w:sz w:val="22"/>
          <w:szCs w:val="22"/>
        </w:rPr>
        <w:t xml:space="preserve">T: Bisakah entitas wakaf memiliki liabilitas seperti utang usaha?</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Ya. Entitas wakaf dapat memiliki liabilitas, misalnya utang kepada kontraktor yang membangun aset wakaf produktif, sebagaimana diilustrasikan pada Lampiran A. Liabilitas ini disajikan terpisah dari aset neto wakaf pada laporan posisi keuangan.</w:t>
      </w:r>
    </w:p>
    <w:p>
      <w:pPr>
        <w:spacing w:after="80" w:before="200"/>
      </w:pPr>
      <w:r>
        <w:rPr>
          <w:rFonts w:ascii="Calibri" w:cs="Calibri" w:eastAsia="Calibri" w:hAnsi="Calibri"/>
          <w:b/>
          <w:bCs/>
          <w:color w:val="065F46"/>
          <w:sz w:val="22"/>
          <w:szCs w:val="22"/>
        </w:rPr>
        <w:t xml:space="preserve">T: Apa yang terjadi pada wakaf temporer setelah jangka waktunya berakhir?</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Perlakuan lanjutan bergantung pada kesepakatan yang dituangkan dalam Akta Ikrar Wakaf. Pada entitas wakaf, liabilitas wakaf temporer yang telah dicatat dapat direklasifikasi menjadi aset neto wakaf apabila wakaf diperpanjang menjadi permanen, atau diselesaikan dengan pengembalian dana kepada wakif apabila disepakati demikian sejak awal. Pada laporan keuangan wakif, jika wakaf dialihkan menjadi permanen, wakif baru mengakui beban dan menghentikan pengakuan aset pada saat itu; jika dana dikembalikan, wakif tetap mengakui asetnya sebagaimana sebelumnya.</w:t>
      </w:r>
    </w:p>
    <w:p>
      <w:pPr>
        <w:spacing w:after="80" w:before="200"/>
      </w:pPr>
      <w:r>
        <w:rPr>
          <w:rFonts w:ascii="Calibri" w:cs="Calibri" w:eastAsia="Calibri" w:hAnsi="Calibri"/>
          <w:b/>
          <w:bCs/>
          <w:color w:val="065F46"/>
          <w:sz w:val="22"/>
          <w:szCs w:val="22"/>
        </w:rPr>
        <w:t xml:space="preserve">T: Apakah ada sanksi hukum bagi nazhir yang tidak menerapkan PSAK 412?</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PSAK 412 adalah standar akuntansi, bukan produk hukum yang secara langsung memuat sanksi pidana atau administratif. Namun, ketidaktaatan terhadap standar akuntansi yang berlaku dapat memengaruhi penilaian pembinaan oleh Badan Wakaf Indonesia, hasil audit, maupun kepercayaan wakif, dan bagi lembaga yang diawasi otoritas seperti OJK dapat berimplikasi pada aspek kepatuhan tata kelola secara lebih luas.</w:t>
      </w:r>
    </w:p>
    <w:p>
      <w:pPr>
        <w:spacing w:after="80" w:before="200"/>
      </w:pPr>
      <w:r>
        <w:rPr>
          <w:rFonts w:ascii="Calibri" w:cs="Calibri" w:eastAsia="Calibri" w:hAnsi="Calibri"/>
          <w:b/>
          <w:bCs/>
          <w:color w:val="065F46"/>
          <w:sz w:val="22"/>
          <w:szCs w:val="22"/>
        </w:rPr>
        <w:t xml:space="preserve">T: Bagaimana perlakuan akuntansi bagi wakaf berupa hak kekayaan intelektual?</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Wakaf hak kekayaan intelektual diukur sebesar nilai wajar pada tanggal penyerahan. Karena aset semacam ini umumnya tidak memiliki pasar aktif, penentuan nilai wajar biasanya memerlukan penilai profesional yang berkompeten di bidang penilaian kekayaan intelektual, dengan dokumentasi metodologi penilaian yang diungkapkan pada catatan atas laporan keuangan.</w:t>
      </w:r>
    </w:p>
    <w:p>
      <w:pPr>
        <w:spacing w:after="80" w:before="200"/>
      </w:pPr>
      <w:r>
        <w:rPr>
          <w:rFonts w:ascii="Calibri" w:cs="Calibri" w:eastAsia="Calibri" w:hAnsi="Calibri"/>
          <w:b/>
          <w:bCs/>
          <w:color w:val="065F46"/>
          <w:sz w:val="22"/>
          <w:szCs w:val="22"/>
        </w:rPr>
        <w:t xml:space="preserve">T: Apakah nazhir yang juga berperan sebagai LKS-PWU, seperti sebagian BPRS, memerlukan perlakuan khusus?</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Ya. Nazhir yang sekaligus berperan sebagai LKS-PWU perlu memisahkan secara tegas antara fungsi perbankan syariah (dengan seluruh ketentuan prudential yang berlaku bagi BPRS) dan fungsi penerimaan/pengelolaan wakaf, termasuk pemisahan rekening, pembukuan, dan pelaporan sebagaimana dibahas pada Bab 3 dan Lampiran B.</w:t>
      </w:r>
    </w:p>
    <w:p>
      <w:pPr>
        <w:spacing w:after="80" w:before="200"/>
      </w:pPr>
      <w:r>
        <w:rPr>
          <w:rFonts w:ascii="Calibri" w:cs="Calibri" w:eastAsia="Calibri" w:hAnsi="Calibri"/>
          <w:b/>
          <w:bCs/>
          <w:color w:val="065F46"/>
          <w:sz w:val="22"/>
          <w:szCs w:val="22"/>
        </w:rPr>
        <w:t xml:space="preserve">T: Apa perbedaan mendasar antara wakaf dan zakat dari sisi akuntansi?</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Zakat bersifat habis pakai dan disalurkan sesuai peruntukannya dalam periode berjalan sesuai PSAK 109, sementara pokok harta wakaf wajib dijaga kelestariannya dan hanya hasil pengelolaannya yang disalurkan. Amil zakat berhak atas bagian dari harta zakat yang dikumpulkan (lazimnya diasosiasikan dengan porsi 1/8 sesuai golongan asnaf), sedangkan nazhir wakaf hanya berhak atas maksimal 10% dari hasil bersih pengelolaan wakaf, bukan dari pokok hartanya.</w:t>
      </w:r>
    </w:p>
    <w:p>
      <w:pPr>
        <w:spacing w:after="80" w:before="200"/>
      </w:pPr>
      <w:r>
        <w:rPr>
          <w:rFonts w:ascii="Calibri" w:cs="Calibri" w:eastAsia="Calibri" w:hAnsi="Calibri"/>
          <w:b/>
          <w:bCs/>
          <w:color w:val="065F46"/>
          <w:sz w:val="22"/>
          <w:szCs w:val="22"/>
        </w:rPr>
        <w:t xml:space="preserve">T: Bisakah wakaf saham diwakafkan kembali hasil keuntungannya secara berulang?</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Ya. Salah satu model wakaf saham memungkinkan investor mewakafkan keuntungan investasi (capital gain dan/atau dividen) dari saham syariah miliknya secara berkelanjutan, sementara pokok sahamnya tetap menjadi milik investor dan tidak dipindahkan kepada nazhir. Model ini berbeda dari wakaf saham yang memindahkan kepemilikan saham itu sendiri kepada nazhir.</w:t>
      </w:r>
    </w:p>
    <w:p>
      <w:pPr>
        <w:spacing w:after="80" w:before="200"/>
      </w:pPr>
      <w:r>
        <w:rPr>
          <w:rFonts w:ascii="Calibri" w:cs="Calibri" w:eastAsia="Calibri" w:hAnsi="Calibri"/>
          <w:b/>
          <w:bCs/>
          <w:color w:val="065F46"/>
          <w:sz w:val="22"/>
          <w:szCs w:val="22"/>
        </w:rPr>
        <w:t xml:space="preserve">T: Apakah entitas wakaf perlu menyusun anggaran (budget) selain laporan keuangan aktual?</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PSAK 412 tidak mewajibkan penyajian anggaran sebagai bagian dari laporan keuangan. Namun, praktik tata kelola yang baik menganjurkan nazhir menyusun rencana kerja dan anggaran tahunan sebagai alat perencanaan dan pembanding realisasi, yang dapat diungkapkan secara naratif pada catatan atas laporan keuangan sebagaimana disinggung pada Bab 6.</w:t>
      </w:r>
    </w:p>
    <w:p>
      <w:pPr>
        <w:spacing w:after="80" w:before="200"/>
      </w:pPr>
      <w:r>
        <w:rPr>
          <w:rFonts w:ascii="Calibri" w:cs="Calibri" w:eastAsia="Calibri" w:hAnsi="Calibri"/>
          <w:b/>
          <w:bCs/>
          <w:color w:val="065F46"/>
          <w:sz w:val="22"/>
          <w:szCs w:val="22"/>
        </w:rPr>
        <w:t xml:space="preserve">T: Bagaimana jika wakif meninggal dunia sebelum jangka waktu wakaf temporer berakhir?</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Kewajiban dan hak yang timbul dari wakaf temporer pada dasarnya melekat pada perjanjian/ikrar wakaf itu sendiri, bukan semata pada pribadi wakif, sehingga pengelolaan wakaf oleh nazhir pada prinsipnya tetap berlanjut sesuai jangka waktu dan peruntukan yang telah disepakati. Untuk kepastian hukum atas hak dan kewajiban ahli waris terkait wakaf temporer, nazhir maupun ahli waris disarankan berkonsultasi dengan notaris/Pejabat Pembuat Akta Ikrar Wakaf dan, bila diperlukan, dengan Badan Wakaf Indonesia.</w:t>
      </w:r>
    </w:p>
    <w:p>
      <w:pPr>
        <w:spacing w:after="80" w:before="200"/>
      </w:pPr>
      <w:r>
        <w:rPr>
          <w:rFonts w:ascii="Calibri" w:cs="Calibri" w:eastAsia="Calibri" w:hAnsi="Calibri"/>
          <w:b/>
          <w:bCs/>
          <w:color w:val="065F46"/>
          <w:sz w:val="22"/>
          <w:szCs w:val="22"/>
        </w:rPr>
        <w:t xml:space="preserve">T: Mengapa wakaf temporer diakui sebagai liabilitas, bukan sebagai aset neto entitas wakaf?</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Karena entitas wakaf memikul kewajiban mengelola dan pada akhirnya mempertanggungjawabkan aset tersebut sesuai jangka waktu dan kesepakatan yang dituangkan dalam Akta Ikrar Wakaf — secara substansi ekonomi lebih mendekati liabilitas dibandingkan kepemilikan permanen. Ketentuan ini bersifat resmi dari PSAK 412 dan ruang lingkupnya dibatasi hanya pada wakaf uang temporer, sebagaimana dibahas pada Bab 5.</w:t>
      </w:r>
    </w:p>
    <w:p>
      <w:pPr>
        <w:spacing w:after="80" w:before="200"/>
      </w:pPr>
      <w:r>
        <w:rPr>
          <w:rFonts w:ascii="Calibri" w:cs="Calibri" w:eastAsia="Calibri" w:hAnsi="Calibri"/>
          <w:b/>
          <w:bCs/>
          <w:color w:val="065F46"/>
          <w:sz w:val="22"/>
          <w:szCs w:val="22"/>
        </w:rPr>
        <w:t xml:space="preserve">T: Apakah laporan rincian aset wakaf menyajikan nama setiap wakif secara individual?</w:t>
      </w:r>
    </w:p>
    <w:p>
      <w:pPr>
        <w:spacing w:after="100" w:line="280"/>
        <w:jc w:val="both"/>
      </w:pPr>
      <w:r>
        <w:rPr>
          <w:rFonts w:ascii="Calibri" w:cs="Calibri" w:eastAsia="Calibri" w:hAnsi="Calibri"/>
          <w:b/>
          <w:bCs/>
          <w:color w:val="64748B"/>
          <w:sz w:val="21"/>
          <w:szCs w:val="21"/>
        </w:rPr>
        <w:t xml:space="preserve">J: </w:t>
      </w:r>
      <w:r>
        <w:rPr>
          <w:rFonts w:ascii="Calibri" w:cs="Calibri" w:eastAsia="Calibri" w:hAnsi="Calibri"/>
          <w:color w:val="1E293B"/>
          <w:sz w:val="21"/>
          <w:szCs w:val="21"/>
        </w:rPr>
        <w:t xml:space="preserve">Format resmi laporan rincian aset wakaf menurut PSAK 412 memilah aset menurut jenis (kas, efek, logam mulia, aset tetap, dan seterusnya) dan menurut sumber (wakif vs. hasil pengelolaan dan pengembangan), bukan menurut nama wakif secara individual. Sebagian nazhir menyelenggarakan subledger internal tambahan yang bersifat sukarela untuk merinci aset per wakif guna mendukung akuntabilitas kepada masing-masing wakif, namun ini bukan format wajib PSAK 412 itu sendiri.</w:t>
      </w:r>
    </w:p>
    <w:p>
      <w:pPr>
        <w:pStyle w:val="Heading1"/>
        <w:pageBreakBefore/>
        <w:spacing w:after="400" w:before="200"/>
      </w:pPr>
      <w:r>
        <w:rPr>
          <w:rFonts w:ascii="Calibri" w:cs="Calibri" w:eastAsia="Calibri" w:hAnsi="Calibri"/>
          <w:b/>
          <w:bCs/>
          <w:color w:val="065F46"/>
          <w:sz w:val="40"/>
          <w:szCs w:val="40"/>
        </w:rPr>
        <w:t xml:space="preserve">Glosarium</w:t>
      </w:r>
    </w:p>
    <w:p>
      <w:pPr>
        <w:spacing w:after="160"/>
      </w:pPr>
      <w:r>
        <w:rPr>
          <w:rFonts w:ascii="Calibri" w:cs="Calibri" w:eastAsia="Calibri" w:hAnsi="Calibri"/>
          <w:b/>
          <w:bCs/>
          <w:color w:val="065F46"/>
          <w:sz w:val="22"/>
          <w:szCs w:val="22"/>
        </w:rPr>
        <w:t xml:space="preserve">Wakif — </w:t>
      </w:r>
      <w:r>
        <w:rPr>
          <w:rFonts w:ascii="Calibri" w:cs="Calibri" w:eastAsia="Calibri" w:hAnsi="Calibri"/>
          <w:color w:val="1E293B"/>
          <w:sz w:val="22"/>
          <w:szCs w:val="22"/>
        </w:rPr>
        <w:t xml:space="preserve">Pihak yang mewakafkan harta benda miliknya.</w:t>
      </w:r>
    </w:p>
    <w:p>
      <w:pPr>
        <w:spacing w:after="160"/>
      </w:pPr>
      <w:r>
        <w:rPr>
          <w:rFonts w:ascii="Calibri" w:cs="Calibri" w:eastAsia="Calibri" w:hAnsi="Calibri"/>
          <w:b/>
          <w:bCs/>
          <w:color w:val="065F46"/>
          <w:sz w:val="22"/>
          <w:szCs w:val="22"/>
        </w:rPr>
        <w:t xml:space="preserve">Nazhir — </w:t>
      </w:r>
      <w:r>
        <w:rPr>
          <w:rFonts w:ascii="Calibri" w:cs="Calibri" w:eastAsia="Calibri" w:hAnsi="Calibri"/>
          <w:color w:val="1E293B"/>
          <w:sz w:val="22"/>
          <w:szCs w:val="22"/>
        </w:rPr>
        <w:t xml:space="preserve">Pihak yang menerima harta benda wakaf dari wakif untuk dikelola dan dikembangkan sesuai peruntukannya.</w:t>
      </w:r>
    </w:p>
    <w:p>
      <w:pPr>
        <w:spacing w:after="160"/>
      </w:pPr>
      <w:r>
        <w:rPr>
          <w:rFonts w:ascii="Calibri" w:cs="Calibri" w:eastAsia="Calibri" w:hAnsi="Calibri"/>
          <w:b/>
          <w:bCs/>
          <w:color w:val="065F46"/>
          <w:sz w:val="22"/>
          <w:szCs w:val="22"/>
        </w:rPr>
        <w:t xml:space="preserve">Mauquf — </w:t>
      </w:r>
      <w:r>
        <w:rPr>
          <w:rFonts w:ascii="Calibri" w:cs="Calibri" w:eastAsia="Calibri" w:hAnsi="Calibri"/>
          <w:color w:val="1E293B"/>
          <w:sz w:val="22"/>
          <w:szCs w:val="22"/>
        </w:rPr>
        <w:t xml:space="preserve">Harta benda yang diwakafkan.</w:t>
      </w:r>
    </w:p>
    <w:p>
      <w:pPr>
        <w:spacing w:after="160"/>
      </w:pPr>
      <w:r>
        <w:rPr>
          <w:rFonts w:ascii="Calibri" w:cs="Calibri" w:eastAsia="Calibri" w:hAnsi="Calibri"/>
          <w:b/>
          <w:bCs/>
          <w:color w:val="065F46"/>
          <w:sz w:val="22"/>
          <w:szCs w:val="22"/>
        </w:rPr>
        <w:t xml:space="preserve">Mauquf 'alaih — </w:t>
      </w:r>
      <w:r>
        <w:rPr>
          <w:rFonts w:ascii="Calibri" w:cs="Calibri" w:eastAsia="Calibri" w:hAnsi="Calibri"/>
          <w:color w:val="1E293B"/>
          <w:sz w:val="22"/>
          <w:szCs w:val="22"/>
        </w:rPr>
        <w:t xml:space="preserve">Pihak yang berhak menerima manfaat dari harta benda wakaf sesuai peruntukan yang ditetapkan.</w:t>
      </w:r>
    </w:p>
    <w:p>
      <w:pPr>
        <w:spacing w:after="160"/>
      </w:pPr>
      <w:r>
        <w:rPr>
          <w:rFonts w:ascii="Calibri" w:cs="Calibri" w:eastAsia="Calibri" w:hAnsi="Calibri"/>
          <w:b/>
          <w:bCs/>
          <w:color w:val="065F46"/>
          <w:sz w:val="22"/>
          <w:szCs w:val="22"/>
        </w:rPr>
        <w:t xml:space="preserve">LKS-PWU — </w:t>
      </w:r>
      <w:r>
        <w:rPr>
          <w:rFonts w:ascii="Calibri" w:cs="Calibri" w:eastAsia="Calibri" w:hAnsi="Calibri"/>
          <w:color w:val="1E293B"/>
          <w:sz w:val="22"/>
          <w:szCs w:val="22"/>
        </w:rPr>
        <w:t xml:space="preserve">Lembaga Keuangan Syariah Penerima Wakaf Uang, lembaga keuangan syariah yang ditunjuk untuk menerima wakaf uang dari wakif.</w:t>
      </w:r>
    </w:p>
    <w:p>
      <w:pPr>
        <w:spacing w:after="160"/>
      </w:pPr>
      <w:r>
        <w:rPr>
          <w:rFonts w:ascii="Calibri" w:cs="Calibri" w:eastAsia="Calibri" w:hAnsi="Calibri"/>
          <w:b/>
          <w:bCs/>
          <w:color w:val="065F46"/>
          <w:sz w:val="22"/>
          <w:szCs w:val="22"/>
        </w:rPr>
        <w:t xml:space="preserve">Wakaf produktif — </w:t>
      </w:r>
      <w:r>
        <w:rPr>
          <w:rFonts w:ascii="Calibri" w:cs="Calibri" w:eastAsia="Calibri" w:hAnsi="Calibri"/>
          <w:color w:val="1E293B"/>
          <w:sz w:val="22"/>
          <w:szCs w:val="22"/>
        </w:rPr>
        <w:t xml:space="preserve">Wakaf yang dikelola dan dikembangkan untuk menghasilkan manfaat ekonomis yang disalurkan kepada mauquf 'alaih, dengan pokok harta tetap dijaga kelestariannya.</w:t>
      </w:r>
    </w:p>
    <w:p>
      <w:pPr>
        <w:spacing w:after="160"/>
      </w:pPr>
      <w:r>
        <w:rPr>
          <w:rFonts w:ascii="Calibri" w:cs="Calibri" w:eastAsia="Calibri" w:hAnsi="Calibri"/>
          <w:b/>
          <w:bCs/>
          <w:color w:val="065F46"/>
          <w:sz w:val="22"/>
          <w:szCs w:val="22"/>
        </w:rPr>
        <w:t xml:space="preserve">Wakaf uang — </w:t>
      </w:r>
      <w:r>
        <w:rPr>
          <w:rFonts w:ascii="Calibri" w:cs="Calibri" w:eastAsia="Calibri" w:hAnsi="Calibri"/>
          <w:color w:val="1E293B"/>
          <w:sz w:val="22"/>
          <w:szCs w:val="22"/>
        </w:rPr>
        <w:t xml:space="preserve">Wakaf dalam bentuk uang sebagaimana diatur dalam Fatwa MUI/DSN-MUI Nomor 2 Tahun 2002.</w:t>
      </w:r>
    </w:p>
    <w:p>
      <w:pPr>
        <w:spacing w:after="160"/>
      </w:pPr>
      <w:r>
        <w:rPr>
          <w:rFonts w:ascii="Calibri" w:cs="Calibri" w:eastAsia="Calibri" w:hAnsi="Calibri"/>
          <w:b/>
          <w:bCs/>
          <w:color w:val="065F46"/>
          <w:sz w:val="22"/>
          <w:szCs w:val="22"/>
        </w:rPr>
        <w:t xml:space="preserve">Wakaf permanen (abadi) — </w:t>
      </w:r>
      <w:r>
        <w:rPr>
          <w:rFonts w:ascii="Calibri" w:cs="Calibri" w:eastAsia="Calibri" w:hAnsi="Calibri"/>
          <w:color w:val="1E293B"/>
          <w:sz w:val="22"/>
          <w:szCs w:val="22"/>
        </w:rPr>
        <w:t xml:space="preserve">Wakaf yang diserahkan tanpa batas waktu; bagi wakif diakui sebagai beban dan aset dihentikan pengakuannya, bagi entitas wakaf diakui sebagai penambah aset neto.</w:t>
      </w:r>
    </w:p>
    <w:p>
      <w:pPr>
        <w:spacing w:after="160"/>
      </w:pPr>
      <w:r>
        <w:rPr>
          <w:rFonts w:ascii="Calibri" w:cs="Calibri" w:eastAsia="Calibri" w:hAnsi="Calibri"/>
          <w:b/>
          <w:bCs/>
          <w:color w:val="065F46"/>
          <w:sz w:val="22"/>
          <w:szCs w:val="22"/>
        </w:rPr>
        <w:t xml:space="preserve">Wakaf temporer — </w:t>
      </w:r>
      <w:r>
        <w:rPr>
          <w:rFonts w:ascii="Calibri" w:cs="Calibri" w:eastAsia="Calibri" w:hAnsi="Calibri"/>
          <w:color w:val="1E293B"/>
          <w:sz w:val="22"/>
          <w:szCs w:val="22"/>
        </w:rPr>
        <w:t xml:space="preserve">Wakaf yang diserahkan untuk jangka waktu tertentu, ruang lingkupnya dalam PSAK 412 dibatasi hanya pada wakaf uang. Bagi wakif, aset tetap diakui sebagai miliknya yang dibatasi penggunaannya dan tidak dihentikan pengakuannya. Bagi entitas wakaf, diakui sebagai LIABILITAS jangka pendek/panjang, bukan sebagai bagian aset neto.</w:t>
      </w:r>
    </w:p>
    <w:p>
      <w:pPr>
        <w:spacing w:after="160"/>
      </w:pPr>
      <w:r>
        <w:rPr>
          <w:rFonts w:ascii="Calibri" w:cs="Calibri" w:eastAsia="Calibri" w:hAnsi="Calibri"/>
          <w:b/>
          <w:bCs/>
          <w:color w:val="065F46"/>
          <w:sz w:val="22"/>
          <w:szCs w:val="22"/>
        </w:rPr>
        <w:t xml:space="preserve">Ujrah/hak amil — </w:t>
      </w:r>
      <w:r>
        <w:rPr>
          <w:rFonts w:ascii="Calibri" w:cs="Calibri" w:eastAsia="Calibri" w:hAnsi="Calibri"/>
          <w:color w:val="1E293B"/>
          <w:sz w:val="22"/>
          <w:szCs w:val="22"/>
        </w:rPr>
        <w:t xml:space="preserve">Imbalan pengelolaan yang berhak diperoleh nazhir dari hasil pengelolaan aset wakaf.</w:t>
      </w:r>
    </w:p>
    <w:p>
      <w:pPr>
        <w:spacing w:after="160"/>
      </w:pPr>
      <w:r>
        <w:rPr>
          <w:rFonts w:ascii="Calibri" w:cs="Calibri" w:eastAsia="Calibri" w:hAnsi="Calibri"/>
          <w:b/>
          <w:bCs/>
          <w:color w:val="065F46"/>
          <w:sz w:val="22"/>
          <w:szCs w:val="22"/>
        </w:rPr>
        <w:t xml:space="preserve">Ruislag — </w:t>
      </w:r>
      <w:r>
        <w:rPr>
          <w:rFonts w:ascii="Calibri" w:cs="Calibri" w:eastAsia="Calibri" w:hAnsi="Calibri"/>
          <w:color w:val="1E293B"/>
          <w:sz w:val="22"/>
          <w:szCs w:val="22"/>
        </w:rPr>
        <w:t xml:space="preserve">Tukar guling harta benda wakaf, hanya dapat dilakukan dengan izin tertulis Menteri Agama berdasarkan pertimbangan Badan Wakaf Indonesia.</w:t>
      </w:r>
    </w:p>
    <w:p>
      <w:pPr>
        <w:spacing w:after="160"/>
      </w:pPr>
      <w:r>
        <w:rPr>
          <w:rFonts w:ascii="Calibri" w:cs="Calibri" w:eastAsia="Calibri" w:hAnsi="Calibri"/>
          <w:b/>
          <w:bCs/>
          <w:color w:val="065F46"/>
          <w:sz w:val="22"/>
          <w:szCs w:val="22"/>
        </w:rPr>
        <w:t xml:space="preserve">Akta Ikrar Wakaf (AIW) — </w:t>
      </w:r>
      <w:r>
        <w:rPr>
          <w:rFonts w:ascii="Calibri" w:cs="Calibri" w:eastAsia="Calibri" w:hAnsi="Calibri"/>
          <w:color w:val="1E293B"/>
          <w:sz w:val="22"/>
          <w:szCs w:val="22"/>
        </w:rPr>
        <w:t xml:space="preserve">Dokumen pernyataan kehendak wakif untuk mewakafkan harta bendanya, dibuat di hadapan Pejabat Pembuat Akta Ikrar Wakaf.</w:t>
      </w:r>
    </w:p>
    <w:p>
      <w:pPr>
        <w:spacing w:after="160"/>
      </w:pPr>
      <w:r>
        <w:rPr>
          <w:rFonts w:ascii="Calibri" w:cs="Calibri" w:eastAsia="Calibri" w:hAnsi="Calibri"/>
          <w:b/>
          <w:bCs/>
          <w:color w:val="065F46"/>
          <w:sz w:val="22"/>
          <w:szCs w:val="22"/>
        </w:rPr>
        <w:t xml:space="preserve">Badan Wakaf Indonesia (BWI) — </w:t>
      </w:r>
      <w:r>
        <w:rPr>
          <w:rFonts w:ascii="Calibri" w:cs="Calibri" w:eastAsia="Calibri" w:hAnsi="Calibri"/>
          <w:color w:val="1E293B"/>
          <w:sz w:val="22"/>
          <w:szCs w:val="22"/>
        </w:rPr>
        <w:t xml:space="preserve">Lembaga negara yang bertugas mengembangkan perwakafan nasional di Indonesia sesuai Undang-Undang Nomor 41 Tahun 2004.</w:t>
      </w:r>
    </w:p>
    <w:p>
      <w:pPr>
        <w:spacing w:after="160"/>
      </w:pPr>
      <w:r>
        <w:rPr>
          <w:rFonts w:ascii="Calibri" w:cs="Calibri" w:eastAsia="Calibri" w:hAnsi="Calibri"/>
          <w:b/>
          <w:bCs/>
          <w:color w:val="065F46"/>
          <w:sz w:val="22"/>
          <w:szCs w:val="22"/>
        </w:rPr>
        <w:t xml:space="preserve">Entitas wakaf — </w:t>
      </w:r>
      <w:r>
        <w:rPr>
          <w:rFonts w:ascii="Calibri" w:cs="Calibri" w:eastAsia="Calibri" w:hAnsi="Calibri"/>
          <w:color w:val="1E293B"/>
          <w:sz w:val="22"/>
          <w:szCs w:val="22"/>
        </w:rPr>
        <w:t xml:space="preserve">Entitas pelaporan tersendiri atas pengelolaan dan pengembangan wakaf, tidak dikonsolidasikan ke laporan keuangan badan hukum nazhir.</w:t>
      </w:r>
    </w:p>
    <w:p>
      <w:pPr>
        <w:spacing w:after="160"/>
      </w:pPr>
      <w:r>
        <w:rPr>
          <w:rFonts w:ascii="Calibri" w:cs="Calibri" w:eastAsia="Calibri" w:hAnsi="Calibri"/>
          <w:b/>
          <w:bCs/>
          <w:color w:val="065F46"/>
          <w:sz w:val="22"/>
          <w:szCs w:val="22"/>
        </w:rPr>
        <w:t xml:space="preserve">Cash Waqf Linked Sukuk (CWLS) — </w:t>
      </w:r>
      <w:r>
        <w:rPr>
          <w:rFonts w:ascii="Calibri" w:cs="Calibri" w:eastAsia="Calibri" w:hAnsi="Calibri"/>
          <w:color w:val="1E293B"/>
          <w:sz w:val="22"/>
          <w:szCs w:val="22"/>
        </w:rPr>
        <w:t xml:space="preserve">Instrumen yang mengintegrasikan wakaf uang dengan Surat Berharga Syariah Negara (SBSN), dikelola BWI selaku nazhir bekerja sama dengan Kementerian Keuangan.</w:t>
      </w:r>
    </w:p>
    <w:p>
      <w:pPr>
        <w:spacing w:after="160"/>
      </w:pPr>
      <w:r>
        <w:rPr>
          <w:rFonts w:ascii="Calibri" w:cs="Calibri" w:eastAsia="Calibri" w:hAnsi="Calibri"/>
          <w:b/>
          <w:bCs/>
          <w:color w:val="065F46"/>
          <w:sz w:val="22"/>
          <w:szCs w:val="22"/>
        </w:rPr>
        <w:t xml:space="preserve">Wakaf saham — </w:t>
      </w:r>
      <w:r>
        <w:rPr>
          <w:rFonts w:ascii="Calibri" w:cs="Calibri" w:eastAsia="Calibri" w:hAnsi="Calibri"/>
          <w:color w:val="1E293B"/>
          <w:sz w:val="22"/>
          <w:szCs w:val="22"/>
        </w:rPr>
        <w:t xml:space="preserve">Wakaf berupa saham syariah yang tercatat di Bursa Efek Indonesia dan termasuk dalam Indeks Saham Syariah Indonesia (ISSI), atau berupa keuntungan investasi dari saham syariah.</w:t>
      </w:r>
    </w:p>
    <w:p>
      <w:pPr>
        <w:spacing w:after="160"/>
      </w:pPr>
      <w:r>
        <w:rPr>
          <w:rFonts w:ascii="Calibri" w:cs="Calibri" w:eastAsia="Calibri" w:hAnsi="Calibri"/>
          <w:b/>
          <w:bCs/>
          <w:color w:val="065F46"/>
          <w:sz w:val="22"/>
          <w:szCs w:val="22"/>
        </w:rPr>
        <w:t xml:space="preserve">Sertifikat Wakaf Uang — </w:t>
      </w:r>
      <w:r>
        <w:rPr>
          <w:rFonts w:ascii="Calibri" w:cs="Calibri" w:eastAsia="Calibri" w:hAnsi="Calibri"/>
          <w:color w:val="1E293B"/>
          <w:sz w:val="22"/>
          <w:szCs w:val="22"/>
        </w:rPr>
        <w:t xml:space="preserve">Dokumen yang diterbitkan LKS-PWU sebagai bukti penerimaan wakaf uang atas nama nazhir yang dituju wakif.</w:t>
      </w:r>
    </w:p>
    <w:p>
      <w:pPr>
        <w:spacing w:after="160"/>
      </w:pPr>
      <w:r>
        <w:rPr>
          <w:rFonts w:ascii="Calibri" w:cs="Calibri" w:eastAsia="Calibri" w:hAnsi="Calibri"/>
          <w:b/>
          <w:bCs/>
          <w:color w:val="065F46"/>
          <w:sz w:val="22"/>
          <w:szCs w:val="22"/>
        </w:rPr>
        <w:t xml:space="preserve">Fresh start accounting — </w:t>
      </w:r>
      <w:r>
        <w:rPr>
          <w:rFonts w:ascii="Calibri" w:cs="Calibri" w:eastAsia="Calibri" w:hAnsi="Calibri"/>
          <w:color w:val="1E293B"/>
          <w:sz w:val="22"/>
          <w:szCs w:val="22"/>
        </w:rPr>
        <w:t xml:space="preserve">Pendekatan transisi khusus bagi entitas wakaf dalam penerapan pertama kali PSAK 412: seluruh aset dan liabilitas diukur ulang pada nilai wajar tanggal efektif, memperlakukan entitas wakaf seolah-olah baru dibentuk pada tanggal tersebut.</w:t>
      </w:r>
    </w:p>
    <w:p>
      <w:pPr>
        <w:spacing w:after="160"/>
      </w:pPr>
      <w:r>
        <w:rPr>
          <w:rFonts w:ascii="Calibri" w:cs="Calibri" w:eastAsia="Calibri" w:hAnsi="Calibri"/>
          <w:b/>
          <w:bCs/>
          <w:color w:val="065F46"/>
          <w:sz w:val="22"/>
          <w:szCs w:val="22"/>
        </w:rPr>
        <w:t xml:space="preserve">Wasiat wakaf / wa'd wakaf — </w:t>
      </w:r>
      <w:r>
        <w:rPr>
          <w:rFonts w:ascii="Calibri" w:cs="Calibri" w:eastAsia="Calibri" w:hAnsi="Calibri"/>
          <w:color w:val="1E293B"/>
          <w:sz w:val="22"/>
          <w:szCs w:val="22"/>
        </w:rPr>
        <w:t xml:space="preserve">Janji mewakafkan harta di masa depan (melalui wasiat atau pernyataan lisan/tertulis) yang belum disertai pengalihan hukum dan manfaat ekonomis; tidak diakui sebagai aset wakaf sampai benar-benar terjadi penyerahan.</w:t>
      </w:r>
    </w:p>
    <w:p>
      <w:pPr>
        <w:spacing w:after="160"/>
      </w:pPr>
      <w:r>
        <w:rPr>
          <w:rFonts w:ascii="Calibri" w:cs="Calibri" w:eastAsia="Calibri" w:hAnsi="Calibri"/>
          <w:b/>
          <w:bCs/>
          <w:color w:val="065F46"/>
          <w:sz w:val="22"/>
          <w:szCs w:val="22"/>
        </w:rPr>
        <w:t xml:space="preserve">Pilar 1 SAK — </w:t>
      </w:r>
      <w:r>
        <w:rPr>
          <w:rFonts w:ascii="Calibri" w:cs="Calibri" w:eastAsia="Calibri" w:hAnsi="Calibri"/>
          <w:color w:val="1E293B"/>
          <w:sz w:val="22"/>
          <w:szCs w:val="22"/>
        </w:rPr>
        <w:t xml:space="preserve">Kelompok Standar Akuntansi Keuangan (SAK umum/PSAK penuh) yang berlaku bagi entitas dengan akuntabilitas publik signifikan, termasuk entitas wakaf, berbeda dari SAK EP, SAK ETAP, dan SAK EMKM yang berlaku bagi entitas dengan akuntabilitas publik lebih terbatas.</w:t>
      </w:r>
    </w:p>
    <w:p>
      <w:pPr>
        <w:spacing w:after="160"/>
      </w:pPr>
      <w:r>
        <w:rPr>
          <w:rFonts w:ascii="Calibri" w:cs="Calibri" w:eastAsia="Calibri" w:hAnsi="Calibri"/>
          <w:b/>
          <w:bCs/>
          <w:color w:val="065F46"/>
          <w:sz w:val="22"/>
          <w:szCs w:val="22"/>
        </w:rPr>
        <w:t xml:space="preserve">Wakalah — </w:t>
      </w:r>
      <w:r>
        <w:rPr>
          <w:rFonts w:ascii="Calibri" w:cs="Calibri" w:eastAsia="Calibri" w:hAnsi="Calibri"/>
          <w:color w:val="1E293B"/>
          <w:sz w:val="22"/>
          <w:szCs w:val="22"/>
        </w:rPr>
        <w:t xml:space="preserve">Akad perwakilan yang mendasari sebagian skema pengelolaan wakaf produktif, termasuk pada instrumen seperti Cash Waqf Linked Sukuk.</w:t>
      </w:r>
    </w:p>
    <w:p>
      <w:pPr>
        <w:pStyle w:val="Heading1"/>
        <w:pageBreakBefore/>
        <w:spacing w:after="400" w:before="200"/>
      </w:pPr>
      <w:r>
        <w:rPr>
          <w:rFonts w:ascii="Calibri" w:cs="Calibri" w:eastAsia="Calibri" w:hAnsi="Calibri"/>
          <w:b/>
          <w:bCs/>
          <w:color w:val="065F46"/>
          <w:sz w:val="40"/>
          <w:szCs w:val="40"/>
        </w:rPr>
        <w:t xml:space="preserve">Daftar Pustaka</w:t>
      </w:r>
    </w:p>
    <w:p>
      <w:pPr>
        <w:pStyle w:val="Heading2"/>
        <w:spacing w:after="200" w:before="200"/>
      </w:pPr>
      <w:r>
        <w:rPr>
          <w:rFonts w:ascii="Calibri" w:cs="Calibri" w:eastAsia="Calibri" w:hAnsi="Calibri"/>
          <w:b/>
          <w:bCs/>
          <w:color w:val="065F46"/>
          <w:sz w:val="28"/>
          <w:szCs w:val="28"/>
        </w:rPr>
        <w:t xml:space="preserve">Peraturan Perundang-undangan</w:t>
      </w:r>
    </w:p>
    <w:p>
      <w:pPr>
        <w:spacing w:after="140" w:line="280"/>
        <w:ind w:left="431" w:hanging="431"/>
      </w:pPr>
      <w:r>
        <w:rPr>
          <w:rFonts w:ascii="Calibri" w:cs="Calibri" w:eastAsia="Calibri" w:hAnsi="Calibri"/>
          <w:color w:val="1E293B"/>
          <w:sz w:val="21"/>
          <w:szCs w:val="21"/>
        </w:rPr>
        <w:t xml:space="preserve">Undang-Undang Republik Indonesia Nomor 41 Tahun 2004 tentang Wakaf.</w:t>
      </w:r>
    </w:p>
    <w:p>
      <w:pPr>
        <w:spacing w:after="140" w:line="280"/>
        <w:ind w:left="431" w:hanging="431"/>
      </w:pPr>
      <w:r>
        <w:rPr>
          <w:rFonts w:ascii="Calibri" w:cs="Calibri" w:eastAsia="Calibri" w:hAnsi="Calibri"/>
          <w:color w:val="1E293B"/>
          <w:sz w:val="21"/>
          <w:szCs w:val="21"/>
        </w:rPr>
        <w:t xml:space="preserve">Peraturan Pemerintah Republik Indonesia Nomor 42 Tahun 2006 tentang Pelaksanaan Undang-Undang Nomor 41 Tahun 2004 tentang Wakaf.</w:t>
      </w:r>
    </w:p>
    <w:p>
      <w:pPr>
        <w:spacing w:after="140" w:line="280"/>
        <w:ind w:left="431" w:hanging="431"/>
      </w:pPr>
      <w:r>
        <w:rPr>
          <w:rFonts w:ascii="Calibri" w:cs="Calibri" w:eastAsia="Calibri" w:hAnsi="Calibri"/>
          <w:color w:val="1E293B"/>
          <w:sz w:val="21"/>
          <w:szCs w:val="21"/>
        </w:rPr>
        <w:t xml:space="preserve">Peraturan Pemerintah Republik Indonesia Nomor 25 Tahun 2018 tentang Perubahan atas Peraturan Pemerintah Nomor 42 Tahun 2006 tentang Pelaksanaan Undang-Undang Nomor 41 Tahun 2004 tentang Wakaf.</w:t>
      </w:r>
    </w:p>
    <w:p>
      <w:pPr>
        <w:spacing w:after="140" w:line="280"/>
        <w:ind w:left="431" w:hanging="431"/>
      </w:pPr>
      <w:r>
        <w:rPr>
          <w:rFonts w:ascii="Calibri" w:cs="Calibri" w:eastAsia="Calibri" w:hAnsi="Calibri"/>
          <w:color w:val="1E293B"/>
          <w:sz w:val="21"/>
          <w:szCs w:val="21"/>
        </w:rPr>
        <w:t xml:space="preserve">Undang-Undang Republik Indonesia Nomor 4 Tahun 2023 tentang Pengembangan dan Penguatan Sektor Keuangan (UU P2SK).</w:t>
      </w:r>
    </w:p>
    <w:p>
      <w:pPr>
        <w:spacing w:after="140" w:line="280"/>
        <w:ind w:left="431" w:hanging="431"/>
      </w:pPr>
      <w:r>
        <w:rPr>
          <w:rFonts w:ascii="Calibri" w:cs="Calibri" w:eastAsia="Calibri" w:hAnsi="Calibri"/>
          <w:color w:val="1E293B"/>
          <w:sz w:val="21"/>
          <w:szCs w:val="21"/>
        </w:rPr>
        <w:t xml:space="preserve">Peraturan Otoritas Jasa Keuangan Nomor 26 Tahun 2022 tentang Bank Pembiayaan Rakyat Syariah.</w:t>
      </w:r>
    </w:p>
    <w:p>
      <w:pPr>
        <w:spacing w:after="140" w:line="280"/>
        <w:ind w:left="431" w:hanging="431"/>
      </w:pPr>
      <w:r>
        <w:rPr>
          <w:rFonts w:ascii="Calibri" w:cs="Calibri" w:eastAsia="Calibri" w:hAnsi="Calibri"/>
          <w:color w:val="1E293B"/>
          <w:sz w:val="21"/>
          <w:szCs w:val="21"/>
        </w:rPr>
        <w:t xml:space="preserve">Peraturan Otoritas Jasa Keuangan Nomor 7 Tahun 2024 tentang Bank Perekonomian Rakyat dan Bank Perekonomian Rakyat Syariah.</w:t>
      </w:r>
    </w:p>
    <w:p>
      <w:pPr>
        <w:spacing w:after="140" w:line="280"/>
        <w:ind w:left="431" w:hanging="431"/>
      </w:pPr>
      <w:r>
        <w:rPr>
          <w:rFonts w:ascii="Calibri" w:cs="Calibri" w:eastAsia="Calibri" w:hAnsi="Calibri"/>
          <w:color w:val="1E293B"/>
          <w:sz w:val="21"/>
          <w:szCs w:val="21"/>
        </w:rPr>
        <w:t xml:space="preserve">Peraturan Badan Wakaf Indonesia Nomor 1 Tahun 2020 tentang Pedoman Pengelolaan dan Pengembangan Harta Benda Wakaf, khususnya Pasal 23 tentang imbalan nazhir.</w:t>
      </w:r>
    </w:p>
    <w:p>
      <w:pPr>
        <w:pStyle w:val="Heading2"/>
        <w:spacing w:after="200" w:before="200"/>
      </w:pPr>
      <w:r>
        <w:rPr>
          <w:rFonts w:ascii="Calibri" w:cs="Calibri" w:eastAsia="Calibri" w:hAnsi="Calibri"/>
          <w:b/>
          <w:bCs/>
          <w:color w:val="065F46"/>
          <w:sz w:val="28"/>
          <w:szCs w:val="28"/>
        </w:rPr>
        <w:t xml:space="preserve">Fatwa dan Standar Akuntansi</w:t>
      </w:r>
    </w:p>
    <w:p>
      <w:pPr>
        <w:spacing w:after="140" w:line="280"/>
        <w:ind w:left="431" w:hanging="431"/>
      </w:pPr>
      <w:r>
        <w:rPr>
          <w:rFonts w:ascii="Calibri" w:cs="Calibri" w:eastAsia="Calibri" w:hAnsi="Calibri"/>
          <w:color w:val="1E293B"/>
          <w:sz w:val="21"/>
          <w:szCs w:val="21"/>
        </w:rPr>
        <w:t xml:space="preserve">Fatwa Majelis Ulama Indonesia/Dewan Syariah Nasional-MUI Nomor 2 Tahun 2002 tentang Wakaf Uang.</w:t>
      </w:r>
    </w:p>
    <w:p>
      <w:pPr>
        <w:spacing w:after="140" w:line="280"/>
        <w:ind w:left="431" w:hanging="431"/>
      </w:pPr>
      <w:r>
        <w:rPr>
          <w:rFonts w:ascii="Calibri" w:cs="Calibri" w:eastAsia="Calibri" w:hAnsi="Calibri"/>
          <w:color w:val="1E293B"/>
          <w:sz w:val="21"/>
          <w:szCs w:val="21"/>
        </w:rPr>
        <w:t xml:space="preserve">Ikatan Akuntan Indonesia. Dewan Standar Akuntansi Syariah. PSAK 412: Akuntansi Wakaf (disahkan dengan nomor PSAK 112 pada 7 November 2018, berlaku efektif 1 Januari 2021; berganti nomor menjadi PSAK 412 sejak 1 Januari 2024 mengikuti perubahan skema penomoran SAK Indonesia, tanpa perubahan substansi).</w:t>
      </w:r>
    </w:p>
    <w:p>
      <w:pPr>
        <w:spacing w:after="140" w:line="280"/>
        <w:ind w:left="431" w:hanging="431"/>
      </w:pPr>
      <w:r>
        <w:rPr>
          <w:rFonts w:ascii="Calibri" w:cs="Calibri" w:eastAsia="Calibri" w:hAnsi="Calibri"/>
          <w:color w:val="1E293B"/>
          <w:sz w:val="21"/>
          <w:szCs w:val="21"/>
        </w:rPr>
        <w:t xml:space="preserve">Ikatan Akuntan Indonesia. Dewan Standar Akuntansi Syariah. PSAK 109: Akuntansi Zakat, Infak, dan Sedekah (disahkan tahun 2010, dengan amendemen berikutnya dari waktu ke waktu).</w:t>
      </w:r>
    </w:p>
    <w:p>
      <w:pPr>
        <w:spacing w:after="140" w:line="280"/>
        <w:ind w:left="431" w:hanging="431"/>
      </w:pPr>
      <w:r>
        <w:rPr>
          <w:rFonts w:ascii="Calibri" w:cs="Calibri" w:eastAsia="Calibri" w:hAnsi="Calibri"/>
          <w:color w:val="1E293B"/>
          <w:sz w:val="21"/>
          <w:szCs w:val="21"/>
        </w:rPr>
        <w:t xml:space="preserve">Ikatan Akuntan Indonesia. Dewan Standar Akuntansi Syariah. PSAK 101: Penyajian Laporan Keuangan Syariah.</w:t>
      </w:r>
    </w:p>
    <w:p>
      <w:pPr>
        <w:spacing w:after="140" w:line="280"/>
        <w:ind w:left="431" w:hanging="431"/>
      </w:pPr>
      <w:r>
        <w:rPr>
          <w:rFonts w:ascii="Calibri" w:cs="Calibri" w:eastAsia="Calibri" w:hAnsi="Calibri"/>
          <w:color w:val="1E293B"/>
          <w:sz w:val="21"/>
          <w:szCs w:val="21"/>
        </w:rPr>
        <w:t xml:space="preserve">Ikatan Akuntan Indonesia. Perubahan Penomoran PSAK dan ISAK dalam SAK Indonesia (siaran pers 22 November 2023, berlaku efektif 1 Januari 2024). web.iaiglobal.or.id.</w:t>
      </w:r>
    </w:p>
    <w:p>
      <w:pPr>
        <w:pStyle w:val="Heading2"/>
        <w:spacing w:after="200" w:before="200"/>
      </w:pPr>
      <w:r>
        <w:rPr>
          <w:rFonts w:ascii="Calibri" w:cs="Calibri" w:eastAsia="Calibri" w:hAnsi="Calibri"/>
          <w:b/>
          <w:bCs/>
          <w:color w:val="065F46"/>
          <w:sz w:val="28"/>
          <w:szCs w:val="28"/>
        </w:rPr>
        <w:t xml:space="preserve">Buku dan Jurnal</w:t>
      </w:r>
    </w:p>
    <w:p>
      <w:pPr>
        <w:spacing w:after="140" w:line="280"/>
        <w:ind w:left="431" w:hanging="431"/>
      </w:pPr>
      <w:r>
        <w:rPr>
          <w:rFonts w:ascii="Calibri" w:cs="Calibri" w:eastAsia="Calibri" w:hAnsi="Calibri"/>
          <w:color w:val="1E293B"/>
          <w:sz w:val="21"/>
          <w:szCs w:val="21"/>
        </w:rPr>
        <w:t xml:space="preserve">Salman, K. R., &amp; Mukadar, A. F. (2022). "Pemahaman Nazhir dan Penerapan Sistem Akuntansi Wakaf Berdasarkan PSAK 112." Jurnal Ilmiah Ekonomi Islam, 8(02), 1169–1180. https://doi.org/10.29040/jiei.v8i2.4814</w:t>
      </w:r>
    </w:p>
    <w:p>
      <w:pPr>
        <w:spacing w:after="140" w:line="280"/>
        <w:ind w:left="431" w:hanging="431"/>
      </w:pPr>
      <w:r>
        <w:rPr>
          <w:rFonts w:ascii="Calibri" w:cs="Calibri" w:eastAsia="Calibri" w:hAnsi="Calibri"/>
          <w:color w:val="1E293B"/>
          <w:sz w:val="21"/>
          <w:szCs w:val="21"/>
        </w:rPr>
        <w:t xml:space="preserve">Nurhalizah, S., Adisaputra, A. K., &amp; Sakinah, G. (2026). "Accounting Treatment of Multi-Business Unit Productive Waqf Based on PSAK 412: A Study on Sinergi Nazhir Wakaf." Al-Mashrafiyah: Jurnal Ekonomi, Keuangan, dan Perbankan Syariah, 10(1), 84–106.</w:t>
      </w:r>
    </w:p>
    <w:p>
      <w:pPr>
        <w:spacing w:after="140" w:line="280"/>
        <w:ind w:left="431" w:hanging="431"/>
      </w:pPr>
      <w:r>
        <w:rPr>
          <w:rFonts w:ascii="Calibri" w:cs="Calibri" w:eastAsia="Calibri" w:hAnsi="Calibri"/>
          <w:color w:val="1E293B"/>
          <w:sz w:val="21"/>
          <w:szCs w:val="21"/>
        </w:rPr>
        <w:t xml:space="preserve">Buku akademik dan artikel ilmiah lain mengenai implementasi PSAK 412 pada lembaga nazhir dapat ditelusuri lebih lanjut melalui basis data Garuda Kemdikbud dan Google Scholar untuk memperkaya edisi berikutnya.</w:t>
      </w:r>
    </w:p>
    <w:p>
      <w:pPr>
        <w:pStyle w:val="Heading2"/>
        <w:spacing w:after="200" w:before="200"/>
      </w:pPr>
      <w:r>
        <w:rPr>
          <w:rFonts w:ascii="Calibri" w:cs="Calibri" w:eastAsia="Calibri" w:hAnsi="Calibri"/>
          <w:b/>
          <w:bCs/>
          <w:color w:val="065F46"/>
          <w:sz w:val="28"/>
          <w:szCs w:val="28"/>
        </w:rPr>
        <w:t xml:space="preserve">Sumber Lembaga Resmi</w:t>
      </w:r>
    </w:p>
    <w:p>
      <w:pPr>
        <w:spacing w:after="140" w:line="280"/>
        <w:ind w:left="431" w:hanging="431"/>
      </w:pPr>
      <w:r>
        <w:rPr>
          <w:rFonts w:ascii="Calibri" w:cs="Calibri" w:eastAsia="Calibri" w:hAnsi="Calibri"/>
          <w:color w:val="1E293B"/>
          <w:sz w:val="21"/>
          <w:szCs w:val="21"/>
        </w:rPr>
        <w:t xml:space="preserve">Ikatan Akuntan Indonesia. "DE PSAK 112: Akuntansi Wakaf Telah Disahkan" (artikel historis 2018, merujuk nomor sebelum perubahan penomoran 2024). web.iaiglobal.or.id.</w:t>
      </w:r>
    </w:p>
    <w:p>
      <w:pPr>
        <w:spacing w:after="140" w:line="280"/>
        <w:ind w:left="431" w:hanging="431"/>
      </w:pPr>
      <w:r>
        <w:rPr>
          <w:rFonts w:ascii="Calibri" w:cs="Calibri" w:eastAsia="Calibri" w:hAnsi="Calibri"/>
          <w:color w:val="1E293B"/>
          <w:sz w:val="21"/>
          <w:szCs w:val="21"/>
        </w:rPr>
        <w:t xml:space="preserve">Ikatan Akuntan Indonesia. "Sosialisasi PSAK 112 Akuntansi Wakaf", Dewan Standar Akuntansi Syariah IAI (materi sosialisasi resmi, 4 Juli 2022).</w:t>
      </w:r>
    </w:p>
    <w:p>
      <w:pPr>
        <w:spacing w:after="140" w:line="280"/>
        <w:ind w:left="431" w:hanging="431"/>
      </w:pPr>
      <w:r>
        <w:rPr>
          <w:rFonts w:ascii="Calibri" w:cs="Calibri" w:eastAsia="Calibri" w:hAnsi="Calibri"/>
          <w:color w:val="1E293B"/>
          <w:sz w:val="21"/>
          <w:szCs w:val="21"/>
        </w:rPr>
        <w:t xml:space="preserve">Otoritas Jasa Keuangan. Regulasi Bank Pembiayaan Rakyat Syariah/Bank Perekonomian Rakyat Syariah. ojk.go.id.</w:t>
      </w:r>
    </w:p>
    <w:p>
      <w:pPr>
        <w:spacing w:after="140" w:line="280"/>
        <w:ind w:left="431" w:hanging="431"/>
      </w:pPr>
      <w:r>
        <w:rPr>
          <w:rFonts w:ascii="Calibri" w:cs="Calibri" w:eastAsia="Calibri" w:hAnsi="Calibri"/>
          <w:color w:val="1E293B"/>
          <w:sz w:val="21"/>
          <w:szCs w:val="21"/>
        </w:rPr>
        <w:t xml:space="preserve">Badan Wakaf Indonesia. bwi.go.id.</w:t>
      </w:r>
    </w:p>
    <w:sectPr>
      <w:headerReference w:type="default" r:id="rId7"/>
      <w:footerReference w:type="default" r:id="rId8"/>
      <w:pgSz w:w="11906" w:h="16838"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Halaman </w:t>
    </w:r>
    <w:r>
      <w:rPr>
        <w:rFonts w:ascii="Calibri" w:cs="Calibri" w:eastAsia="Calibri" w:hAnsi="Calibri"/>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65F46" w:sz="4"/>
      </w:pBdr>
      <w:jc w:val="right"/>
    </w:pPr>
    <w:r>
      <w:rPr>
        <w:rFonts w:ascii="Calibri" w:cs="Calibri" w:eastAsia="Calibri" w:hAnsi="Calibri"/>
        <w:caps/>
        <w:color w:val="64748B"/>
        <w:sz w:val="16"/>
        <w:szCs w:val="16"/>
      </w:rPr>
      <w:t xml:space="preserve">SERI LITERASI WAKAF — NAZHIRLY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200"/>
      <w:outlineLvl w:val="0"/>
    </w:pPr>
    <w:rPr>
      <w:rFonts w:ascii="Calibri" w:cs="Calibri" w:eastAsia="Calibri" w:hAnsi="Calibri"/>
      <w:b/>
      <w:bCs/>
      <w:color w:val="065F46"/>
      <w:sz w:val="40"/>
      <w:szCs w:val="40"/>
    </w:rPr>
  </w:style>
  <w:style w:type="paragraph" w:styleId="Heading2">
    <w:name w:val="Heading 2"/>
    <w:basedOn w:val="Normal"/>
    <w:next w:val="Normal"/>
    <w:qFormat/>
    <w:pPr>
      <w:spacing w:after="200" w:before="200"/>
      <w:outlineLvl w:val="1"/>
    </w:pPr>
    <w:rPr>
      <w:rFonts w:ascii="Calibri" w:cs="Calibri" w:eastAsia="Calibri" w:hAnsi="Calibri"/>
      <w:b/>
      <w:bCs/>
      <w:color w:val="065F46"/>
      <w:sz w:val="28"/>
      <w:szCs w:val="28"/>
    </w:rPr>
  </w:style>
  <w:style w:type="paragraph" w:styleId="Heading3">
    <w:name w:val="Heading 3"/>
    <w:basedOn w:val="Normal"/>
    <w:next w:val="Normal"/>
    <w:qFormat/>
    <w:pPr>
      <w:spacing w:after="120" w:before="240"/>
      <w:outlineLvl w:val="2"/>
    </w:pPr>
    <w:rPr>
      <w:rFonts w:ascii="Calibri" w:cs="Calibri" w:eastAsia="Calibri" w:hAnsi="Calibri"/>
      <w:b/>
      <w:bCs/>
      <w:color w:val="065F4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Akuntansi dan Pelaporan Wakaf</dc:title>
  <dc:creator>BPRS Baktimakmur Indah</dc:creator>
  <cp:lastModifiedBy>Un-named</cp:lastModifiedBy>
  <cp:revision>1</cp:revision>
  <dcterms:created xsi:type="dcterms:W3CDTF">2026-08-09T10:35:14.938Z</dcterms:created>
  <dcterms:modified xsi:type="dcterms:W3CDTF">2026-08-09T10:35:14.953Z</dcterms:modified>
</cp:coreProperties>
</file>

<file path=docProps/custom.xml><?xml version="1.0" encoding="utf-8"?>
<Properties xmlns="http://schemas.openxmlformats.org/officeDocument/2006/custom-properties" xmlns:vt="http://schemas.openxmlformats.org/officeDocument/2006/docPropsVTypes"/>
</file>