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600"/>
        <w:jc w:val="center"/>
      </w:pPr>
      <w:r>
        <w:rPr>
          <w:rFonts w:ascii="Calibri" w:cs="Calibri" w:eastAsia="Calibri" w:hAnsi="Calibri"/>
          <w:b/>
          <w:bCs/>
          <w:color w:val="065F46"/>
          <w:sz w:val="24"/>
          <w:szCs w:val="24"/>
        </w:rPr>
        <w:t xml:space="preserve">SERI LITERASI WAKAF — NAZHIRLY</w:t>
      </w:r>
    </w:p>
    <w:p>
      <w:pPr>
        <w:spacing w:after="100" w:before="400"/>
        <w:jc w:val="center"/>
      </w:pPr>
      <w:r>
        <w:rPr>
          <w:rFonts w:ascii="Calibri" w:cs="Calibri" w:eastAsia="Calibri" w:hAnsi="Calibri"/>
          <w:b/>
          <w:bCs/>
          <w:color w:val="64748B"/>
          <w:sz w:val="24"/>
          <w:szCs w:val="24"/>
        </w:rPr>
        <w:t xml:space="preserve">Buku 7</w:t>
      </w:r>
    </w:p>
    <w:p>
      <w:pPr>
        <w:spacing w:after="200" w:before="200"/>
        <w:jc w:val="center"/>
      </w:pPr>
      <w:r>
        <w:rPr>
          <w:rFonts w:ascii="Calibri" w:cs="Calibri" w:eastAsia="Calibri" w:hAnsi="Calibri"/>
          <w:b/>
          <w:bCs/>
          <w:color w:val="065F46"/>
          <w:sz w:val="56"/>
          <w:szCs w:val="56"/>
        </w:rPr>
        <w:t xml:space="preserve">TANYA JAWAB WAKAF UANG</w:t>
      </w:r>
    </w:p>
    <w:p>
      <w:pPr>
        <w:spacing w:after="600" w:before="100"/>
        <w:jc w:val="center"/>
      </w:pPr>
      <w:r>
        <w:rPr>
          <w:rFonts w:ascii="Calibri" w:cs="Calibri" w:eastAsia="Calibri" w:hAnsi="Calibri"/>
          <w:i/>
          <w:iCs/>
          <w:color w:val="1E293B"/>
          <w:sz w:val="26"/>
          <w:szCs w:val="26"/>
        </w:rPr>
        <w:t xml:space="preserve">Menjawab Keraguan Calon Wakif secara Singkat dan Jelas</w:t>
      </w:r>
    </w:p>
    <w:p>
      <w:pPr>
        <w:spacing w:after="200" w:before="400"/>
      </w:pPr>
    </w:p>
    <w:tbl>
      <w:tblPr>
        <w:tblW w:type="pct" w:w="100%"/>
        <w:tblBorders>
          <w:top w:val="single" w:color="065F46" w:sz="4"/>
          <w:left w:val="single" w:color="065F46" w:sz="4"/>
          <w:bottom w:val="single" w:color="065F46" w:sz="4"/>
          <w:right w:val="single" w:color="065F46" w:sz="4"/>
          <w:insideH w:val="single" w:color="A7F3D0" w:sz="2"/>
          <w:insideV w:val="single" w:color="A7F3D0" w:sz="2"/>
        </w:tblBorders>
      </w:tblPr>
      <w:tblGrid>
        <w:gridCol w:w="100"/>
        <w:gridCol w:w="100"/>
      </w:tblGrid>
      <w:tr>
        <w:tc>
          <w:tcPr>
            <w:tcW w:type="pct" w:w="32%"/>
            <w:shd w:fill="065F46" w:val="clear"/>
            <w:tcMar>
              <w:top w:type="dxa" w:w="120"/>
              <w:left w:type="dxa" w:w="180"/>
              <w:bottom w:type="dxa" w:w="120"/>
              <w:right w:type="dxa" w:w="180"/>
            </w:tcMar>
            <w:vAlign w:val="center"/>
          </w:tcPr>
          <w:p>
            <w:r>
              <w:rPr>
                <w:rFonts w:ascii="Calibri" w:cs="Calibri" w:eastAsia="Calibri" w:hAnsi="Calibri"/>
                <w:b/>
                <w:bCs/>
                <w:color w:val="FFFFFF"/>
                <w:sz w:val="20"/>
                <w:szCs w:val="20"/>
              </w:rPr>
              <w:t xml:space="preserve">Kategori</w:t>
            </w:r>
          </w:p>
        </w:tc>
        <w:tc>
          <w:tcPr>
            <w:tcW w:type="pct" w:w="68%"/>
            <w:shd w:fill="FFFFFF" w:val="clear"/>
            <w:tcMar>
              <w:top w:type="dxa" w:w="120"/>
              <w:left w:type="dxa" w:w="180"/>
              <w:bottom w:type="dxa" w:w="120"/>
              <w:right w:type="dxa" w:w="180"/>
            </w:tcMar>
            <w:vAlign w:val="center"/>
          </w:tcPr>
          <w:p>
            <w:r>
              <w:rPr>
                <w:rFonts w:ascii="Calibri" w:cs="Calibri" w:eastAsia="Calibri" w:hAnsi="Calibri"/>
                <w:color w:val="1E293B"/>
                <w:sz w:val="20"/>
                <w:szCs w:val="20"/>
              </w:rPr>
              <w:t xml:space="preserve">Edukasi Publik</w:t>
            </w:r>
          </w:p>
        </w:tc>
      </w:tr>
      <w:tr>
        <w:tc>
          <w:tcPr>
            <w:tcW w:type="pct" w:w="32%"/>
            <w:shd w:fill="065F46" w:val="clear"/>
            <w:tcMar>
              <w:top w:type="dxa" w:w="120"/>
              <w:left w:type="dxa" w:w="180"/>
              <w:bottom w:type="dxa" w:w="120"/>
              <w:right w:type="dxa" w:w="180"/>
            </w:tcMar>
            <w:vAlign w:val="center"/>
          </w:tcPr>
          <w:p>
            <w:r>
              <w:rPr>
                <w:rFonts w:ascii="Calibri" w:cs="Calibri" w:eastAsia="Calibri" w:hAnsi="Calibri"/>
                <w:b/>
                <w:bCs/>
                <w:color w:val="FFFFFF"/>
                <w:sz w:val="20"/>
                <w:szCs w:val="20"/>
              </w:rPr>
              <w:t xml:space="preserve">Target Pembaca</w:t>
            </w:r>
          </w:p>
        </w:tc>
        <w:tc>
          <w:tcPr>
            <w:tcW w:type="pct" w:w="68%"/>
            <w:shd w:fill="FFFFFF" w:val="clear"/>
            <w:tcMar>
              <w:top w:type="dxa" w:w="120"/>
              <w:left w:type="dxa" w:w="180"/>
              <w:bottom w:type="dxa" w:w="120"/>
              <w:right w:type="dxa" w:w="180"/>
            </w:tcMar>
            <w:vAlign w:val="center"/>
          </w:tcPr>
          <w:p>
            <w:r>
              <w:rPr>
                <w:rFonts w:ascii="Calibri" w:cs="Calibri" w:eastAsia="Calibri" w:hAnsi="Calibri"/>
                <w:color w:val="1E293B"/>
                <w:sz w:val="20"/>
                <w:szCs w:val="20"/>
              </w:rPr>
              <w:t xml:space="preserve">Calon wakif yang ingin jawaban cepat atas pertanyaan spesifik</w:t>
            </w:r>
          </w:p>
        </w:tc>
      </w:tr>
      <w:tr>
        <w:tc>
          <w:tcPr>
            <w:tcW w:type="pct" w:w="32%"/>
            <w:shd w:fill="065F46" w:val="clear"/>
            <w:tcMar>
              <w:top w:type="dxa" w:w="120"/>
              <w:left w:type="dxa" w:w="180"/>
              <w:bottom w:type="dxa" w:w="120"/>
              <w:right w:type="dxa" w:w="180"/>
            </w:tcMar>
            <w:vAlign w:val="center"/>
          </w:tcPr>
          <w:p>
            <w:r>
              <w:rPr>
                <w:rFonts w:ascii="Calibri" w:cs="Calibri" w:eastAsia="Calibri" w:hAnsi="Calibri"/>
                <w:b/>
                <w:bCs/>
                <w:color w:val="FFFFFF"/>
                <w:sz w:val="20"/>
                <w:szCs w:val="20"/>
              </w:rPr>
              <w:t xml:space="preserve">Level</w:t>
            </w:r>
          </w:p>
        </w:tc>
        <w:tc>
          <w:tcPr>
            <w:tcW w:type="pct" w:w="68%"/>
            <w:shd w:fill="FFFFFF" w:val="clear"/>
            <w:tcMar>
              <w:top w:type="dxa" w:w="120"/>
              <w:left w:type="dxa" w:w="180"/>
              <w:bottom w:type="dxa" w:w="120"/>
              <w:right w:type="dxa" w:w="180"/>
            </w:tcMar>
            <w:vAlign w:val="center"/>
          </w:tcPr>
          <w:p>
            <w:r>
              <w:rPr>
                <w:rFonts w:ascii="Calibri" w:cs="Calibri" w:eastAsia="Calibri" w:hAnsi="Calibri"/>
                <w:color w:val="1E293B"/>
                <w:sz w:val="20"/>
                <w:szCs w:val="20"/>
              </w:rPr>
              <w:t xml:space="preserve">Dasar</w:t>
            </w:r>
          </w:p>
        </w:tc>
      </w:tr>
      <w:tr>
        <w:tc>
          <w:tcPr>
            <w:tcW w:type="pct" w:w="32%"/>
            <w:shd w:fill="065F46" w:val="clear"/>
            <w:tcMar>
              <w:top w:type="dxa" w:w="120"/>
              <w:left w:type="dxa" w:w="180"/>
              <w:bottom w:type="dxa" w:w="120"/>
              <w:right w:type="dxa" w:w="180"/>
            </w:tcMar>
            <w:vAlign w:val="center"/>
          </w:tcPr>
          <w:p>
            <w:r>
              <w:rPr>
                <w:rFonts w:ascii="Calibri" w:cs="Calibri" w:eastAsia="Calibri" w:hAnsi="Calibri"/>
                <w:b/>
                <w:bCs/>
                <w:color w:val="FFFFFF"/>
                <w:sz w:val="20"/>
                <w:szCs w:val="20"/>
              </w:rPr>
              <w:t xml:space="preserve">Jumlah Butir Tanya Jawab</w:t>
            </w:r>
          </w:p>
        </w:tc>
        <w:tc>
          <w:tcPr>
            <w:tcW w:type="pct" w:w="68%"/>
            <w:shd w:fill="FFFFFF" w:val="clear"/>
            <w:tcMar>
              <w:top w:type="dxa" w:w="120"/>
              <w:left w:type="dxa" w:w="180"/>
              <w:bottom w:type="dxa" w:w="120"/>
              <w:right w:type="dxa" w:w="180"/>
            </w:tcMar>
            <w:vAlign w:val="center"/>
          </w:tcPr>
          <w:p>
            <w:r>
              <w:rPr>
                <w:rFonts w:ascii="Calibri" w:cs="Calibri" w:eastAsia="Calibri" w:hAnsi="Calibri"/>
                <w:color w:val="1E293B"/>
                <w:sz w:val="20"/>
                <w:szCs w:val="20"/>
              </w:rPr>
              <w:t xml:space="preserve">60 butir dalam 6 kelompok tema</w:t>
            </w:r>
          </w:p>
        </w:tc>
      </w:tr>
      <w:tr>
        <w:tc>
          <w:tcPr>
            <w:tcW w:type="pct" w:w="32%"/>
            <w:shd w:fill="065F46" w:val="clear"/>
            <w:tcMar>
              <w:top w:type="dxa" w:w="120"/>
              <w:left w:type="dxa" w:w="180"/>
              <w:bottom w:type="dxa" w:w="120"/>
              <w:right w:type="dxa" w:w="180"/>
            </w:tcMar>
            <w:vAlign w:val="center"/>
          </w:tcPr>
          <w:p>
            <w:r>
              <w:rPr>
                <w:rFonts w:ascii="Calibri" w:cs="Calibri" w:eastAsia="Calibri" w:hAnsi="Calibri"/>
                <w:b/>
                <w:bCs/>
                <w:color w:val="FFFFFF"/>
                <w:sz w:val="20"/>
                <w:szCs w:val="20"/>
              </w:rPr>
              <w:t xml:space="preserve">Penerbit</w:t>
            </w:r>
          </w:p>
        </w:tc>
        <w:tc>
          <w:tcPr>
            <w:tcW w:type="pct" w:w="68%"/>
            <w:shd w:fill="FFFFFF" w:val="clear"/>
            <w:tcMar>
              <w:top w:type="dxa" w:w="120"/>
              <w:left w:type="dxa" w:w="180"/>
              <w:bottom w:type="dxa" w:w="120"/>
              <w:right w:type="dxa" w:w="180"/>
            </w:tcMar>
            <w:vAlign w:val="center"/>
          </w:tcPr>
          <w:p>
            <w:r>
              <w:rPr>
                <w:rFonts w:ascii="Calibri" w:cs="Calibri" w:eastAsia="Calibri" w:hAnsi="Calibri"/>
                <w:color w:val="1E293B"/>
                <w:sz w:val="20"/>
                <w:szCs w:val="20"/>
              </w:rPr>
              <w:t xml:space="preserve">BPRS Baktimakmur Indah</w:t>
            </w:r>
          </w:p>
        </w:tc>
      </w:tr>
      <w:tr>
        <w:tc>
          <w:tcPr>
            <w:tcW w:type="pct" w:w="32%"/>
            <w:shd w:fill="065F46" w:val="clear"/>
            <w:tcMar>
              <w:top w:type="dxa" w:w="120"/>
              <w:left w:type="dxa" w:w="180"/>
              <w:bottom w:type="dxa" w:w="120"/>
              <w:right w:type="dxa" w:w="180"/>
            </w:tcMar>
            <w:vAlign w:val="center"/>
          </w:tcPr>
          <w:p>
            <w:r>
              <w:rPr>
                <w:rFonts w:ascii="Calibri" w:cs="Calibri" w:eastAsia="Calibri" w:hAnsi="Calibri"/>
                <w:b/>
                <w:bCs/>
                <w:color w:val="FFFFFF"/>
                <w:sz w:val="20"/>
                <w:szCs w:val="20"/>
              </w:rPr>
              <w:t xml:space="preserve">Edisi</w:t>
            </w:r>
          </w:p>
        </w:tc>
        <w:tc>
          <w:tcPr>
            <w:tcW w:type="pct" w:w="68%"/>
            <w:shd w:fill="FFFFFF" w:val="clear"/>
            <w:tcMar>
              <w:top w:type="dxa" w:w="120"/>
              <w:left w:type="dxa" w:w="180"/>
              <w:bottom w:type="dxa" w:w="120"/>
              <w:right w:type="dxa" w:w="180"/>
            </w:tcMar>
            <w:vAlign w:val="center"/>
          </w:tcPr>
          <w:p>
            <w:r>
              <w:rPr>
                <w:rFonts w:ascii="Calibri" w:cs="Calibri" w:eastAsia="Calibri" w:hAnsi="Calibri"/>
                <w:color w:val="1E293B"/>
                <w:sz w:val="20"/>
                <w:szCs w:val="20"/>
              </w:rPr>
              <w:t xml:space="preserve">Edisi revisi — dimutakhirkan sesuai regulasi berlaku per Agustus 2026</w:t>
            </w:r>
          </w:p>
        </w:tc>
      </w:tr>
    </w:tbl>
    <w:p>
      <w:r>
        <w:br w:type="page"/>
      </w:r>
    </w:p>
    <w:p>
      <w:pPr>
        <w:spacing w:after="300" w:before="200"/>
      </w:pPr>
      <w:r>
        <w:rPr>
          <w:rFonts w:ascii="Calibri" w:cs="Calibri" w:eastAsia="Calibri" w:hAnsi="Calibri"/>
          <w:b/>
          <w:bCs/>
          <w:color w:val="065F46"/>
          <w:sz w:val="28"/>
          <w:szCs w:val="28"/>
        </w:rPr>
        <w:t xml:space="preserve">Keterangan Penerbitan</w:t>
      </w:r>
    </w:p>
    <w:p>
      <w:pPr>
        <w:spacing w:after="120"/>
      </w:pPr>
      <w:r>
        <w:rPr>
          <w:rFonts w:ascii="Calibri" w:cs="Calibri" w:eastAsia="Calibri" w:hAnsi="Calibri"/>
          <w:color w:val="1E293B"/>
          <w:sz w:val="22"/>
          <w:szCs w:val="22"/>
        </w:rPr>
        <w:t xml:space="preserve">Judul: Tanya Jawab Wakaf Uang — Menjawab Keraguan Calon Wakif secara Singkat dan Jelas</w:t>
      </w:r>
    </w:p>
    <w:p>
      <w:pPr>
        <w:spacing w:after="120"/>
      </w:pPr>
      <w:r>
        <w:rPr>
          <w:rFonts w:ascii="Calibri" w:cs="Calibri" w:eastAsia="Calibri" w:hAnsi="Calibri"/>
          <w:color w:val="1E293B"/>
          <w:sz w:val="22"/>
          <w:szCs w:val="22"/>
        </w:rPr>
        <w:t xml:space="preserve">Seri: Literasi Wakaf — Nazhirly, Buku 7 dari 8</w:t>
      </w:r>
    </w:p>
    <w:p>
      <w:pPr>
        <w:spacing w:after="120"/>
      </w:pPr>
      <w:r>
        <w:rPr>
          <w:rFonts w:ascii="Calibri" w:cs="Calibri" w:eastAsia="Calibri" w:hAnsi="Calibri"/>
          <w:color w:val="1E293B"/>
          <w:sz w:val="22"/>
          <w:szCs w:val="22"/>
        </w:rPr>
        <w:t xml:space="preserve">Penerbit: BPRS Baktimakmur Indah</w:t>
      </w:r>
    </w:p>
    <w:p>
      <w:pPr>
        <w:spacing w:after="120"/>
      </w:pPr>
      <w:r>
        <w:rPr>
          <w:rFonts w:ascii="Calibri" w:cs="Calibri" w:eastAsia="Calibri" w:hAnsi="Calibri"/>
          <w:color w:val="1E293B"/>
          <w:sz w:val="22"/>
          <w:szCs w:val="22"/>
        </w:rPr>
        <w:t xml:space="preserve">Tahun Terbit: 2026 (edisi revisi)</w:t>
      </w:r>
    </w:p>
    <w:p>
      <w:pPr>
        <w:spacing w:after="120"/>
      </w:pPr>
      <w:r>
        <w:rPr>
          <w:rFonts w:ascii="Calibri" w:cs="Calibri" w:eastAsia="Calibri" w:hAnsi="Calibri"/>
          <w:color w:val="1E293B"/>
          <w:sz w:val="22"/>
          <w:szCs w:val="22"/>
        </w:rPr>
        <w:t xml:space="preserve">Seluruh isi buku ini disusun untuk tujuan edukasi publik mengenai wakaf uang dan tidak dimaksudkan sebagai nasihat hukum atau nasihat keuangan yang mengikat. Pembaca disarankan berkonsultasi dengan lembaga resmi terkait untuk keperluan transaksi wakaf yang bersifat spesifik.</w:t>
      </w:r>
    </w:p>
    <w:p>
      <w:pPr>
        <w:spacing w:after="300"/>
      </w:pPr>
      <w:r>
        <w:rPr>
          <w:rFonts w:ascii="Calibri" w:cs="Calibri" w:eastAsia="Calibri" w:hAnsi="Calibri"/>
          <w:color w:val="1E293B"/>
          <w:sz w:val="22"/>
          <w:szCs w:val="22"/>
        </w:rPr>
        <w:t xml:space="preserve">Edisi ini telah dimutakhirkan mengikuti Peraturan Menteri Agama Nomor 14 Tahun 2025, Peraturan OJK Nomor 7 dan 25 Tahun 2024, Undang-Undang Nomor 4 Tahun 2023 tentang P2SK, dan pembaruan penomoran PSAK 412 (dahulu PSAK 112), agar seluruh rujukan hukum dan syariah mencerminkan ketentuan yang berlaku per Agustus 2026.</w:t>
      </w:r>
    </w:p>
    <w:p>
      <w:r>
        <w:br w:type="page"/>
      </w:r>
    </w:p>
    <w:p>
      <w:pPr>
        <w:spacing w:after="300" w:before="200"/>
      </w:pPr>
      <w:r>
        <w:rPr>
          <w:rFonts w:ascii="Calibri" w:cs="Calibri" w:eastAsia="Calibri" w:hAnsi="Calibri"/>
          <w:b/>
          <w:bCs/>
          <w:color w:val="065F46"/>
          <w:sz w:val="28"/>
          <w:szCs w:val="28"/>
        </w:rPr>
        <w:t xml:space="preserve">Kata Pengantar</w:t>
      </w:r>
    </w:p>
    <w:p>
      <w:pPr>
        <w:spacing w:after="200"/>
      </w:pPr>
      <w:r>
        <w:rPr>
          <w:rFonts w:ascii="Calibri" w:cs="Calibri" w:eastAsia="Calibri" w:hAnsi="Calibri"/>
          <w:color w:val="1E293B"/>
          <w:sz w:val="22"/>
          <w:szCs w:val="22"/>
        </w:rPr>
        <w:t xml:space="preserve">Banyak calon wakif menunda niat baiknya untuk berwakaf uang bukan karena keraguan pada nilai ibadahnya, melainkan karena sejumlah pertanyaan teknis dan hukum yang belum terjawab. Buku ini disusun sebagai rujukan cepat yang dapat dibuka secara acak, melengkapi buku "Wakaf untuk Semua" yang menyajikan wakaf uang secara lebih naratif.</w:t>
      </w:r>
    </w:p>
    <w:p>
      <w:pPr>
        <w:spacing w:after="200"/>
      </w:pPr>
      <w:r>
        <w:rPr>
          <w:rFonts w:ascii="Calibri" w:cs="Calibri" w:eastAsia="Calibri" w:hAnsi="Calibri"/>
          <w:color w:val="1E293B"/>
          <w:sz w:val="22"/>
          <w:szCs w:val="22"/>
        </w:rPr>
        <w:t xml:space="preserve">Setiap pertanyaan dijawab secara singkat dan langsung pada intinya, disertai rujukan hukum dan syariah yang dapat ditelusuri, agar pembaca memperoleh kepastian sebelum mengambil keputusan berwakaf. Buku ini dikelompokkan berdasarkan tema, bukan urutan bab yang harus dibaca berurutan, sehingga pembaca dapat langsung menuju pertanyaan yang paling relevan dengan keraguannya.</w:t>
      </w:r>
    </w:p>
    <w:p>
      <w:pPr>
        <w:spacing w:after="200"/>
      </w:pPr>
      <w:r>
        <w:rPr>
          <w:rFonts w:ascii="Calibri" w:cs="Calibri" w:eastAsia="Calibri" w:hAnsi="Calibri"/>
          <w:color w:val="1E293B"/>
          <w:sz w:val="22"/>
          <w:szCs w:val="22"/>
        </w:rPr>
        <w:t xml:space="preserve">Edisi ini terbit tidak lama setelah Kementerian Agama menerbitkan Peraturan Menteri Agama Nomor 14 Tahun 2025 tentang Tata Cara Wakaf Benda Bergerak Berupa Uang, yang untuk pertama kalinya mengatur secara eksplisit layanan digital, nominal minimal wakaf uang, serta sanksi administratif bagi LKS-PWU dan nazhir. Kami menyambut baik pembaruan ini karena memberi kepastian yang lebih jelas bagi calon wakif.</w:t>
      </w:r>
    </w:p>
    <w:p>
      <w:pPr>
        <w:spacing w:after="200"/>
      </w:pPr>
      <w:r>
        <w:rPr>
          <w:rFonts w:ascii="Calibri" w:cs="Calibri" w:eastAsia="Calibri" w:hAnsi="Calibri"/>
          <w:color w:val="1E293B"/>
          <w:sz w:val="22"/>
          <w:szCs w:val="22"/>
        </w:rPr>
        <w:t xml:space="preserve">Semoga buku kecil ini memudahkan lebih banyak orang untuk memulai wakaf uang dengan mantap dan penuh keyakinan.</w:t>
      </w:r>
    </w:p>
    <w:p>
      <w:pPr>
        <w:spacing w:before="300"/>
        <w:jc w:val="right"/>
      </w:pPr>
      <w:r>
        <w:rPr>
          <w:rFonts w:ascii="Calibri" w:cs="Calibri" w:eastAsia="Calibri" w:hAnsi="Calibri"/>
          <w:i/>
          <w:iCs/>
          <w:color w:val="64748B"/>
          <w:sz w:val="20"/>
          <w:szCs w:val="20"/>
        </w:rPr>
        <w:t xml:space="preserve">Tim Penulis dan Editor</w:t>
      </w:r>
    </w:p>
    <w:p>
      <w:pPr>
        <w:jc w:val="right"/>
      </w:pPr>
      <w:r>
        <w:rPr>
          <w:rFonts w:ascii="Calibri" w:cs="Calibri" w:eastAsia="Calibri" w:hAnsi="Calibri"/>
          <w:i/>
          <w:iCs/>
          <w:color w:val="64748B"/>
          <w:sz w:val="20"/>
          <w:szCs w:val="20"/>
        </w:rPr>
        <w:t xml:space="preserve">Seri Literasi Wakaf — Nazhirly</w:t>
      </w:r>
    </w:p>
    <w:p>
      <w:r>
        <w:br w:type="page"/>
      </w:r>
    </w:p>
    <w:p>
      <w:pPr>
        <w:spacing w:after="300" w:before="200"/>
      </w:pPr>
      <w:r>
        <w:rPr>
          <w:rFonts w:ascii="Calibri" w:cs="Calibri" w:eastAsia="Calibri" w:hAnsi="Calibri"/>
          <w:b/>
          <w:bCs/>
          <w:color w:val="065F46"/>
          <w:sz w:val="28"/>
          <w:szCs w:val="28"/>
        </w:rPr>
        <w:t xml:space="preserve">Daftar Isi</w:t>
      </w:r>
    </w:p>
    <w:sdt>
      <w:sdtPr>
        <w:alias w:val="Daftar Isi"/>
      </w:sdtPr>
      <w:sdtContent>
        <w:p>
          <w:r>
            <w:fldChar w:fldCharType="begin" w:dirty="true"/>
            <w:instrText xml:space="preserve">TOC \h \o "1-3"</w:instrText>
            <w:fldChar w:fldCharType="separate"/>
          </w:r>
        </w:p>
        <w:p>
          <w:r>
            <w:fldChar w:fldCharType="end"/>
          </w:r>
        </w:p>
      </w:sdtContent>
    </w:sdt>
    <w:p>
      <w:r>
        <w:br w:type="page"/>
      </w:r>
    </w:p>
    <w:p>
      <w:pPr>
        <w:pStyle w:val="Heading1"/>
        <w:spacing w:after="80" w:before="200"/>
      </w:pPr>
      <w:r>
        <w:rPr>
          <w:rFonts w:ascii="Calibri" w:cs="Calibri" w:eastAsia="Calibri" w:hAnsi="Calibri"/>
          <w:b/>
          <w:bCs/>
          <w:color w:val="64748B"/>
          <w:sz w:val="22"/>
          <w:szCs w:val="22"/>
        </w:rPr>
        <w:t xml:space="preserve">Kelompok Pertanyaan 1</w:t>
      </w:r>
    </w:p>
    <w:p>
      <w:pPr>
        <w:pStyle w:val="Heading1"/>
        <w:spacing w:after="240"/>
      </w:pPr>
      <w:r>
        <w:rPr>
          <w:rFonts w:ascii="Calibri" w:cs="Calibri" w:eastAsia="Calibri" w:hAnsi="Calibri"/>
          <w:b/>
          <w:bCs/>
          <w:color w:val="065F46"/>
          <w:sz w:val="36"/>
          <w:szCs w:val="36"/>
        </w:rPr>
        <w:t xml:space="preserve">Dasar Hukum dan Kehalalan Wakaf Uang</w:t>
      </w:r>
    </w:p>
    <w:p>
      <w:pPr>
        <w:spacing w:after="260"/>
      </w:pPr>
      <w:r>
        <w:rPr>
          <w:rFonts w:ascii="Calibri" w:cs="Calibri" w:eastAsia="Calibri" w:hAnsi="Calibri"/>
          <w:color w:val="1E293B"/>
          <w:sz w:val="22"/>
          <w:szCs w:val="22"/>
        </w:rPr>
        <w:t xml:space="preserve">Banyak calon wakif ragu memulai wakaf uang karena belum yakin akan status hukum dan kehalalannya. Bagian ini menjawab pertanyaan paling dasar seputar legalitas syariah dan legalitas negara atas wakaf uang di Indonesia, sebagai fondasi sebelum membahas teknis pelaksanaannya.</w:t>
      </w:r>
    </w:p>
    <w:p>
      <w:pPr>
        <w:spacing w:after="0" w:before="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Apakah wakaf uang halal dan sah menurut syariah?</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Wakaf uang dinyatakan sah menurut syariah berdasarkan Fatwa Majelis Ulama Indonesia Nomor 2 Tahun 2002 tentang Wakaf Uang. Fatwa ini menegaskan bahwa uang termasuk harta bergerak yang boleh diwakafkan selama nilai pokoknya dijaga keutuhannya dan hasil pengelolaannya disalurkan sesuai peruntukan wakaf.</w:t>
            </w:r>
          </w:p>
          <w:p>
            <w:r>
              <w:rPr>
                <w:rFonts w:ascii="Calibri" w:cs="Calibri" w:eastAsia="Calibri" w:hAnsi="Calibri"/>
                <w:i/>
                <w:iCs/>
                <w:color w:val="64748B"/>
                <w:sz w:val="18"/>
                <w:szCs w:val="18"/>
              </w:rPr>
              <w:t xml:space="preserve">Rujukan: Fatwa MUI No. 2 Tahun 2002 tentang Wakaf Uang</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 dasar hukum wakaf uang di Indonesia?</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Dasar hukum utamanya adalah Undang-Undang Nomor 41 Tahun 2004 tentang Wakaf, yang secara eksplisit mengakui uang sebagai salah satu jenis benda bergerak yang dapat diwakafkan. Ketentuan ini dilaksanakan lebih lanjut oleh Peraturan Pemerintah Nomor 42 Tahun 2006 sebagaimana diubah dengan Peraturan Pemerintah Nomor 25 Tahun 2018, serta diatur secara teknis oleh Peraturan Menteri Agama Nomor 14 Tahun 2025 tentang Tata Cara Wakaf Benda Bergerak Berupa Uang.</w:t>
            </w:r>
          </w:p>
          <w:p>
            <w:r>
              <w:rPr>
                <w:rFonts w:ascii="Calibri" w:cs="Calibri" w:eastAsia="Calibri" w:hAnsi="Calibri"/>
                <w:i/>
                <w:iCs/>
                <w:color w:val="64748B"/>
                <w:sz w:val="18"/>
                <w:szCs w:val="18"/>
              </w:rPr>
              <w:t xml:space="preserve">Rujukan: UU No. 41 Tahun 2004; PP No. 42 Tahun 2006 jo. PP No. 25 Tahun 2018; PMA No. 14 Tahun 2025</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 isi pokok Fatwa MUI Nomor 2 Tahun 2002 tentang Wakaf Uang?</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Fatwa ini menetapkan bahwa wakaf uang hukumnya jawaz (boleh), wakaf uang hanya disalurkan dan digunakan untuk hal-hal yang dibolehkan secara syar'i, dan nilai pokok wakaf uang harus dijamin kelestariannya sehingga tidak boleh dijual, dihibahkan, atau diwariskan.</w:t>
            </w:r>
          </w:p>
          <w:p>
            <w:r>
              <w:rPr>
                <w:rFonts w:ascii="Calibri" w:cs="Calibri" w:eastAsia="Calibri" w:hAnsi="Calibri"/>
                <w:i/>
                <w:iCs/>
                <w:color w:val="64748B"/>
                <w:sz w:val="18"/>
                <w:szCs w:val="18"/>
              </w:rPr>
              <w:t xml:space="preserve">Rujukan: Fatwa MUI No. 2 Tahun 2002</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Apakah wakaf uang sama dengan wakaf tunai?</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Keduanya merujuk pada objek yang sama, yaitu harta wakaf berbentuk uang. Istilah baku yang digunakan peraturan perundang-undangan saat ini adalah "Wakaf Benda Bergerak Berupa Uang" yang disingkat "Wakaf Uang", sebagaimana ditegaskan dalam Peraturan Menteri Agama Nomor 14 Tahun 2025. Istilah "wakaf tunai" masih dijumpai pada literatur dan judul dokumen lama sehingga kedua istilah dapat dijumpai berdampingan.</w:t>
            </w:r>
          </w:p>
          <w:p>
            <w:r>
              <w:rPr>
                <w:rFonts w:ascii="Calibri" w:cs="Calibri" w:eastAsia="Calibri" w:hAnsi="Calibri"/>
                <w:i/>
                <w:iCs/>
                <w:color w:val="64748B"/>
                <w:sz w:val="18"/>
                <w:szCs w:val="18"/>
              </w:rPr>
              <w:t xml:space="preserve">Rujukan: PMA No. 14 Tahun 2025, Pasal 1</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Siapa yang berwenang menerima wakaf uang atas nama nazhir?</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Wakaf uang dilaksanakan melalui Lembaga Keuangan Syariah Penerima Wakaf Uang (LKS-PWU), yaitu lembaga keuangan syariah yang ditetapkan oleh Menteri Agama atas dasar rekomendasi Badan Wakaf Indonesia (BWI) yang telah mendapat pertimbangan Otoritas Jasa Keuangan (OJK), untuk menerima wakaf uang dan menerbitkan Sertifikat Wakaf Uang (SWU) atas nama wakif.</w:t>
            </w:r>
          </w:p>
          <w:p>
            <w:r>
              <w:rPr>
                <w:rFonts w:ascii="Calibri" w:cs="Calibri" w:eastAsia="Calibri" w:hAnsi="Calibri"/>
                <w:i/>
                <w:iCs/>
                <w:color w:val="64748B"/>
                <w:sz w:val="18"/>
                <w:szCs w:val="18"/>
              </w:rPr>
              <w:t xml:space="preserve">Rujukan: PMA No. 14 Tahun 2025, Pasal 2-7</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Apakah pokok (nilai nominal) wakaf uang boleh berkurang?</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Tidak. Salah satu prinsip inti wakaf uang adalah kelestarian pokok wakaf. Nazhir wajib mengelola dana wakaf uang sedemikian rupa sehingga nilai pokoknya tetap terjaga, dan hanya hasil pengelolaan atau keuntungan investasinya yang boleh disalurkan kepada penerima manfaat.</w:t>
            </w:r>
          </w:p>
          <w:p>
            <w:r>
              <w:rPr>
                <w:rFonts w:ascii="Calibri" w:cs="Calibri" w:eastAsia="Calibri" w:hAnsi="Calibri"/>
                <w:i/>
                <w:iCs/>
                <w:color w:val="64748B"/>
                <w:sz w:val="18"/>
                <w:szCs w:val="18"/>
              </w:rPr>
              <w:t xml:space="preserve">Rujukan: Fatwa MUI No. 2 Tahun 2002</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 perbedaan wakaf uang dengan wakaf benda tidak bergerak seperti tanah?</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Wakaf tanah bersifat mewakafkan benda fisik secara langsung, sementara wakaf uang mewakafkan nilai nominal yang kemudian dikelola secara produktif oleh nazhir melalui investasi atau pembiayaan syariah, sehingga hasilnya yang disalurkan, bukan uangnya secara fisik. Tata cara wakaf benda tidak bergerak dan benda bergerak selain uang diatur tersendiri dalam Peraturan Menteri Agama Nomor 73 Tahun 2013.</w:t>
            </w:r>
          </w:p>
          <w:p>
            <w:r>
              <w:rPr>
                <w:rFonts w:ascii="Calibri" w:cs="Calibri" w:eastAsia="Calibri" w:hAnsi="Calibri"/>
                <w:i/>
                <w:iCs/>
                <w:color w:val="64748B"/>
                <w:sz w:val="18"/>
                <w:szCs w:val="18"/>
              </w:rPr>
              <w:t xml:space="preserve">Rujukan: UU No. 41 Tahun 2004; PMA No. 73 Tahun 2013</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Apakah wakaf uang tetap memerlukan Akta Ikrar Wakaf?</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Ya. Kehendak wakif untuk mewakafkan uangnya dituangkan dalam Akta Ikrar Wakaf (AIW) yang diterbitkan oleh pejabat LKS-PWU, baik secara langsung di kantor LKS-PWU maupun secara tidak langsung melalui Layanan Digital, kemudian LKS-PWU menerbitkan Sertifikat Wakaf Uang sebagai bukti pelaksanaan ikrar tersebut.</w:t>
            </w:r>
          </w:p>
          <w:p>
            <w:r>
              <w:rPr>
                <w:rFonts w:ascii="Calibri" w:cs="Calibri" w:eastAsia="Calibri" w:hAnsi="Calibri"/>
                <w:i/>
                <w:iCs/>
                <w:color w:val="64748B"/>
                <w:sz w:val="18"/>
                <w:szCs w:val="18"/>
              </w:rPr>
              <w:t xml:space="preserve">Rujukan: PMA No. 14 Tahun 2025, Pasal 19-23</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Apakah ada syarat khusus mengenai siapa yang boleh menjadi wakif uang?</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Wakif dapat berupa perorangan, organisasi, atau badan hukum, sepanjang secara hukum cakap bertindak, yakni dewasa, berakal sehat, dan pemilik sah atas harta yang diwakafkan, tanpa paksaan dari pihak mana pun. Wakif juga wajib menjelaskan kepemilikan dan asal-usul uang yang akan diwakafkan kepada LKS-PWU.</w:t>
            </w:r>
          </w:p>
          <w:p>
            <w:r>
              <w:rPr>
                <w:rFonts w:ascii="Calibri" w:cs="Calibri" w:eastAsia="Calibri" w:hAnsi="Calibri"/>
                <w:i/>
                <w:iCs/>
                <w:color w:val="64748B"/>
                <w:sz w:val="18"/>
                <w:szCs w:val="18"/>
              </w:rPr>
              <w:t xml:space="preserve">Rujukan: UU No. 41 Tahun 2004; PMA No. 14 Tahun 2025, Pasal 17</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Bagaimana kedudukan wakaf uang dalam standar akuntansi keuangan syariah?</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Pengelolaan aset wakaf, termasuk wakaf uang, diatur dalam PSAK 412: Akuntansi Wakaf (sebelumnya bernomor PSAK 112, mengikuti pembaruan penomoran standar akuntansi keuangan syariah yang berlaku efektif 1 Januari 2024). Standar ini mengatur bagaimana nazhir mencatat, mengakui, dan melaporkan aset wakaf dalam laporan keuangan entitas wakaf, sehingga pengelolaan dana wakaf dapat dipertanggungjawabkan secara transparan dan dapat diaudit.</w:t>
            </w:r>
          </w:p>
          <w:p>
            <w:r>
              <w:rPr>
                <w:rFonts w:ascii="Calibri" w:cs="Calibri" w:eastAsia="Calibri" w:hAnsi="Calibri"/>
                <w:i/>
                <w:iCs/>
                <w:color w:val="64748B"/>
                <w:sz w:val="18"/>
                <w:szCs w:val="18"/>
              </w:rPr>
              <w:t xml:space="preserve">Rujukan: PSAK 412 (dahulu PSAK 112): Akuntansi Wakaf, Ikatan Akuntan Indonesia</w:t>
            </w:r>
          </w:p>
        </w:tc>
      </w:tr>
    </w:tbl>
    <w:p>
      <w:pPr>
        <w:spacing w:after="0" w:before="30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100"/>
            </w:pPr>
            <w:r>
              <w:rPr>
                <w:rFonts w:ascii="Calibri" w:cs="Calibri" w:eastAsia="Calibri" w:hAnsi="Calibri"/>
                <w:b/>
                <w:bCs/>
                <w:color w:val="065F46"/>
                <w:sz w:val="22"/>
                <w:szCs w:val="22"/>
              </w:rPr>
              <w:t xml:space="preserve">Ringkasan Poin Kunci</w:t>
            </w:r>
          </w:p>
          <w:p>
            <w:pPr>
              <w:spacing w:after="60"/>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Wakaf uang sah secara syariah berdasarkan Fatwa MUI No. 2 Tahun 2002 dan diakui negara melalui UU No. 41 Tahun 2004.</w:t>
            </w:r>
          </w:p>
          <w:p>
            <w:pPr>
              <w:spacing w:after="60"/>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Nilai pokok wakaf uang wajib dijaga; hanya hasil pengelolaannya yang disalurkan.</w:t>
            </w:r>
          </w:p>
          <w:p>
            <w:pPr>
              <w:spacing w:after="60"/>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Sejak Oktober 2025, tata cara wakaf uang diatur teknis oleh PMA No. 14 Tahun 2025, menggantikan PMA No. 4 Tahun 2009.</w:t>
            </w:r>
          </w:p>
        </w:tc>
      </w:tr>
    </w:tbl>
    <w:p>
      <w:r>
        <w:br w:type="page"/>
      </w:r>
    </w:p>
    <w:p>
      <w:pPr>
        <w:pStyle w:val="Heading1"/>
        <w:spacing w:after="80" w:before="200"/>
      </w:pPr>
      <w:r>
        <w:rPr>
          <w:rFonts w:ascii="Calibri" w:cs="Calibri" w:eastAsia="Calibri" w:hAnsi="Calibri"/>
          <w:b/>
          <w:bCs/>
          <w:color w:val="64748B"/>
          <w:sz w:val="22"/>
          <w:szCs w:val="22"/>
        </w:rPr>
        <w:t xml:space="preserve">Kelompok Pertanyaan 2</w:t>
      </w:r>
    </w:p>
    <w:p>
      <w:pPr>
        <w:pStyle w:val="Heading1"/>
        <w:spacing w:after="240"/>
      </w:pPr>
      <w:r>
        <w:rPr>
          <w:rFonts w:ascii="Calibri" w:cs="Calibri" w:eastAsia="Calibri" w:hAnsi="Calibri"/>
          <w:b/>
          <w:bCs/>
          <w:color w:val="065F46"/>
          <w:sz w:val="36"/>
          <w:szCs w:val="36"/>
        </w:rPr>
        <w:t xml:space="preserve">Nominal, Cara, dan Proses Berwakaf</w:t>
      </w:r>
    </w:p>
    <w:p>
      <w:pPr>
        <w:spacing w:after="260"/>
      </w:pPr>
      <w:r>
        <w:rPr>
          <w:rFonts w:ascii="Calibri" w:cs="Calibri" w:eastAsia="Calibri" w:hAnsi="Calibri"/>
          <w:color w:val="1E293B"/>
          <w:sz w:val="22"/>
          <w:szCs w:val="22"/>
        </w:rPr>
        <w:t xml:space="preserve">Setelah memahami dasar hukumnya, pertanyaan berikutnya yang paling sering muncul adalah soal teknis: berapa besar dana yang dibutuhkan dan bagaimana langkah-langkah berwakaf uang. Sejak berlakunya Peraturan Menteri Agama Nomor 14 Tahun 2025, proses ini juga dapat dilakukan secara digital. Bagian ini menjawab keraguan praktis calon wakif pemula.</w:t>
      </w:r>
    </w:p>
    <w:p>
      <w:pPr>
        <w:spacing w:after="0" w:before="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Berapa nominal minimal untuk berwakaf uang?</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Berdasarkan Peraturan Menteri Agama Nomor 14 Tahun 2025, penerimaan wakaf uang yang diterbitkan Sertifikat Wakaf Uang (SWU) paling sedikit berjumlah Rp1.000.000,00 (satu juta rupiah). Untuk wakaf uang berjangka waktu tertentu, nilai minimalnya juga ditetapkan sebesar Rp1.000.000,00. LKS-PWU atau nazhir tertentu dapat menetapkan kebijakan tambahan sepanjang tidak bertentangan dengan ketentuan ini.</w:t>
            </w:r>
          </w:p>
          <w:p>
            <w:r>
              <w:rPr>
                <w:rFonts w:ascii="Calibri" w:cs="Calibri" w:eastAsia="Calibri" w:hAnsi="Calibri"/>
                <w:i/>
                <w:iCs/>
                <w:color w:val="64748B"/>
                <w:sz w:val="18"/>
                <w:szCs w:val="18"/>
              </w:rPr>
              <w:t xml:space="preserve">Rujukan: PMA No. 14 Tahun 2025, Pasal 18 dan 24</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Bagaimana cara berwakaf uang melalui LKS-PWU?</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Secara umum, wakif menyampaikan kehendaknya kepada LKS-PWU, mengisi formulir pernyataan kehendak beserta data peruntukan yang diinginkan, menyetorkan dana wakaf secara langsung di kantor LKS-PWU atau secara tidak langsung melalui Layanan Digital, kemudian menerima Sertifikat Wakaf Uang sebagai bukti sah bahwa dana telah diwakafkan.</w:t>
            </w:r>
          </w:p>
          <w:p>
            <w:r>
              <w:rPr>
                <w:rFonts w:ascii="Calibri" w:cs="Calibri" w:eastAsia="Calibri" w:hAnsi="Calibri"/>
                <w:i/>
                <w:iCs/>
                <w:color w:val="64748B"/>
                <w:sz w:val="18"/>
                <w:szCs w:val="18"/>
              </w:rPr>
              <w:t xml:space="preserve">Rujukan: PMA No. 14 Tahun 2025, Pasal 3 dan 17</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Apakah wakaf uang bisa dicicil atau dilakukan bertahap?</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Peraturan perundang-undangan tidak mengatur skema cicilan secara eksplisit, namun banyak nazhir dan LKS-PWU menyediakan skema wakaf uang bertahap agar lebih terjangkau bagi masyarakat luas. Setiap setoran yang telah mencapai nilai minimal Rp1.000.000,00 berhak diterbitkan Sertifikat Wakaf Uang sesuai ketentuan yang berlaku.</w:t>
            </w:r>
          </w:p>
          <w:p>
            <w:r>
              <w:rPr>
                <w:rFonts w:ascii="Calibri" w:cs="Calibri" w:eastAsia="Calibri" w:hAnsi="Calibri"/>
                <w:i/>
                <w:iCs/>
                <w:color w:val="64748B"/>
                <w:sz w:val="18"/>
                <w:szCs w:val="18"/>
              </w:rPr>
              <w:t xml:space="preserve">Rujukan: PMA No. 14 Tahun 2025, Pasal 24; kebijakan internal LKS-PWU/nazhir</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Apakah wakaf uang bisa dilakukan secara daring (online)?</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Ya. Peraturan Menteri Agama Nomor 14 Tahun 2025 secara eksplisit mengatur setoran wakaf secara tidak langsung melalui Layanan Digital, yaitu layanan berbasis teknologi informasi yang bekerja sama dengan nazhir. Ikrar Wakaf dan Sertifikat Wakaf Uang pun dapat diterbitkan dalam bentuk dokumen digital, dengan opsi memperoleh dokumen fisik apabila wakif memintanya.</w:t>
            </w:r>
          </w:p>
          <w:p>
            <w:r>
              <w:rPr>
                <w:rFonts w:ascii="Calibri" w:cs="Calibri" w:eastAsia="Calibri" w:hAnsi="Calibri"/>
                <w:i/>
                <w:iCs/>
                <w:color w:val="64748B"/>
                <w:sz w:val="18"/>
                <w:szCs w:val="18"/>
              </w:rPr>
              <w:t xml:space="preserve">Rujukan: PMA No. 14 Tahun 2025, Pasal 17, 21, dan 23</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 beda wakaf uang berjangka waktu (temporer) dan wakaf uang abadi (muabbad)?</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Wakaf temporer diwakafkan untuk jangka waktu tertentu dengan masa paling singkat 1 (satu) tahun, dan setelah jangka waktu tersebut berakhir, nazhir wajib mengembalikan pokok wakafnya kepada wakif atau ahli waris/penerus haknya melalui LKS-PWU paling lama 7 (tujuh) hari kerja. Wakaf muabbad diwakafkan untuk selamanya sehingga pokoknya tidak pernah dikembalikan. UU No. 41 Tahun 2004 dan PMA No. 14 Tahun 2025 mengakomodasi kedua bentuk ini, berbeda dari konsep wakaf klasik yang umumnya dipahami selalu bersifat abadi.</w:t>
            </w:r>
          </w:p>
          <w:p>
            <w:r>
              <w:rPr>
                <w:rFonts w:ascii="Calibri" w:cs="Calibri" w:eastAsia="Calibri" w:hAnsi="Calibri"/>
                <w:i/>
                <w:iCs/>
                <w:color w:val="64748B"/>
                <w:sz w:val="18"/>
                <w:szCs w:val="18"/>
              </w:rPr>
              <w:t xml:space="preserve">Rujukan: UU No. 41 Tahun 2004; PMA No. 14 Tahun 2025, Pasal 16 dan 18</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 itu Sertifikat Wakaf Uang (SWU)?</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SWU adalah surat bukti yang diterbitkan oleh LKS-PWU kepada wakif dan nazhir tentang penyerahan wakaf uang. Sejak berlakunya PMA No. 14 Tahun 2025, SWU diterbitkan dalam bentuk dokumen digital sebagai bentuk baku, dan LKS-PWU wajib memberikan dokumen fisik apabila wakif memintanya.</w:t>
            </w:r>
          </w:p>
          <w:p>
            <w:r>
              <w:rPr>
                <w:rFonts w:ascii="Calibri" w:cs="Calibri" w:eastAsia="Calibri" w:hAnsi="Calibri"/>
                <w:i/>
                <w:iCs/>
                <w:color w:val="64748B"/>
                <w:sz w:val="18"/>
                <w:szCs w:val="18"/>
              </w:rPr>
              <w:t xml:space="preserve">Rujukan: PMA No. 14 Tahun 2025, Pasal 23</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Apakah wakif harus menentukan sendiri peruntukan (mauquf 'alaih) dana wakafnya?</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Wakif dapat menentukan peruntukan tertentu, misalnya untuk pendidikan atau kesehatan, maupun menyerahkan sepenuhnya kepada kebijakan nazhir untuk mengelola dan menyalurkannya sesuai program yang berjalan, sepanjang peruntukan tersebut tidak bertentangan dengan syariah dan peraturan yang berlaku. Peruntukan ini wajib dicantumkan dalam Akta Ikrar Wakaf dan Sertifikat Wakaf Uang.</w:t>
            </w:r>
          </w:p>
          <w:p>
            <w:r>
              <w:rPr>
                <w:rFonts w:ascii="Calibri" w:cs="Calibri" w:eastAsia="Calibri" w:hAnsi="Calibri"/>
                <w:i/>
                <w:iCs/>
                <w:color w:val="64748B"/>
                <w:sz w:val="18"/>
                <w:szCs w:val="18"/>
              </w:rPr>
              <w:t xml:space="preserve">Rujukan: PMA No. 14 Tahun 2025, Pasal 22-23</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Apakah dana yang sudah diwakafkan bisa ditarik kembali oleh wakif?</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Untuk wakaf uang abadi (muabbad), dana yang telah sah diwakafkan tidak dapat ditarik kembali karena kepemilikannya telah beralih menjadi harta wakaf yang dikelola nazhir untuk kepentingan umum. Namun, untuk wakaf uang berjangka waktu tertentu, PMA No. 14 Tahun 2025 mewajibkan nazhir mengembalikan pokok wakaf kepada wakif atau ahli waris/penerus haknya setelah jangka waktu wakaf berakhir, melalui LKS-PWU paling lama 7 (tujuh) hari kerja.</w:t>
            </w:r>
          </w:p>
          <w:p>
            <w:r>
              <w:rPr>
                <w:rFonts w:ascii="Calibri" w:cs="Calibri" w:eastAsia="Calibri" w:hAnsi="Calibri"/>
                <w:i/>
                <w:iCs/>
                <w:color w:val="64748B"/>
                <w:sz w:val="18"/>
                <w:szCs w:val="18"/>
              </w:rPr>
              <w:t xml:space="preserve">Rujukan: UU No. 41 Tahun 2004; PMA No. 14 Tahun 2025, Pasal 16 ayat (4)</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 peran nazhir dalam proses wakaf uang?</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Nazhir adalah pihak berbadan hukum yang menerima harta wakaf untuk dikelola dan dikembangkan sesuai peruntukannya. Nazhir wajib mengadministrasikan, mengelola, mengembangkan, mengawasi, dan melindungi harta benda wakaf uang, memiliki dana operasional paling sedikit Rp50.000.000,00, serta melaporkan pengelolaannya secara berkala kepada Kementerian Agama dan BWI.</w:t>
            </w:r>
          </w:p>
          <w:p>
            <w:r>
              <w:rPr>
                <w:rFonts w:ascii="Calibri" w:cs="Calibri" w:eastAsia="Calibri" w:hAnsi="Calibri"/>
                <w:i/>
                <w:iCs/>
                <w:color w:val="64748B"/>
                <w:sz w:val="18"/>
                <w:szCs w:val="18"/>
              </w:rPr>
              <w:t xml:space="preserve">Rujukan: PMA No. 14 Tahun 2025, Pasal 8-16</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Bagaimana proses ikrar wakaf uang secara ringkas?</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Ikrar Wakaf dapat dilakukan secara langsung di kantor LKS-PWU, atau secara tidak langsung melalui Layanan Digital dengan melampirkan bukti pemberitahuan peristiwa wakaf. Pernyataan tersebut dituangkan dalam Akta Ikrar Wakaf, kemudian LKS-PWU atas nama nazhir mendaftarkan harta wakaf tersebut kepada Menteri Agama, dengan pengawasan dari Badan Wakaf Indonesia.</w:t>
            </w:r>
          </w:p>
          <w:p>
            <w:r>
              <w:rPr>
                <w:rFonts w:ascii="Calibri" w:cs="Calibri" w:eastAsia="Calibri" w:hAnsi="Calibri"/>
                <w:i/>
                <w:iCs/>
                <w:color w:val="64748B"/>
                <w:sz w:val="18"/>
                <w:szCs w:val="18"/>
              </w:rPr>
              <w:t xml:space="preserve">Rujukan: PMA No. 14 Tahun 2025, Pasal 19-22</w:t>
            </w:r>
          </w:p>
        </w:tc>
      </w:tr>
    </w:tbl>
    <w:p>
      <w:pPr>
        <w:spacing w:after="0" w:before="30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100"/>
            </w:pPr>
            <w:r>
              <w:rPr>
                <w:rFonts w:ascii="Calibri" w:cs="Calibri" w:eastAsia="Calibri" w:hAnsi="Calibri"/>
                <w:b/>
                <w:bCs/>
                <w:color w:val="065F46"/>
                <w:sz w:val="22"/>
                <w:szCs w:val="22"/>
              </w:rPr>
              <w:t xml:space="preserve">Ringkasan Poin Kunci</w:t>
            </w:r>
          </w:p>
          <w:p>
            <w:pPr>
              <w:spacing w:after="60"/>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Nominal minimal wakaf uang untuk penerbitan SWU adalah Rp1.000.000,00 sesuai PMA No. 14 Tahun 2025.</w:t>
            </w:r>
          </w:p>
          <w:p>
            <w:pPr>
              <w:spacing w:after="60"/>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Sejak Oktober 2025, wakaf uang dapat dilakukan sepenuhnya secara digital melalui Layanan Digital yang bekerja sama dengan nazhir.</w:t>
            </w:r>
          </w:p>
          <w:p>
            <w:pPr>
              <w:spacing w:after="60"/>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Pokok wakaf uang abadi tidak dapat ditarik kembali; pokok wakaf uang berjangka waktu wajib dikembalikan setelah jangka waktunya berakhir.</w:t>
            </w:r>
          </w:p>
        </w:tc>
      </w:tr>
    </w:tbl>
    <w:p>
      <w:r>
        <w:br w:type="page"/>
      </w:r>
    </w:p>
    <w:p>
      <w:pPr>
        <w:pStyle w:val="Heading1"/>
        <w:spacing w:after="80" w:before="200"/>
      </w:pPr>
      <w:r>
        <w:rPr>
          <w:rFonts w:ascii="Calibri" w:cs="Calibri" w:eastAsia="Calibri" w:hAnsi="Calibri"/>
          <w:b/>
          <w:bCs/>
          <w:color w:val="64748B"/>
          <w:sz w:val="22"/>
          <w:szCs w:val="22"/>
        </w:rPr>
        <w:t xml:space="preserve">Kelompok Pertanyaan 3</w:t>
      </w:r>
    </w:p>
    <w:p>
      <w:pPr>
        <w:pStyle w:val="Heading1"/>
        <w:spacing w:after="240"/>
      </w:pPr>
      <w:r>
        <w:rPr>
          <w:rFonts w:ascii="Calibri" w:cs="Calibri" w:eastAsia="Calibri" w:hAnsi="Calibri"/>
          <w:b/>
          <w:bCs/>
          <w:color w:val="065F46"/>
          <w:sz w:val="36"/>
          <w:szCs w:val="36"/>
        </w:rPr>
        <w:t xml:space="preserve">Keamanan dan Pengawasan Dana Wakaf</w:t>
      </w:r>
    </w:p>
    <w:p>
      <w:pPr>
        <w:spacing w:after="260"/>
      </w:pPr>
      <w:r>
        <w:rPr>
          <w:rFonts w:ascii="Calibri" w:cs="Calibri" w:eastAsia="Calibri" w:hAnsi="Calibri"/>
          <w:color w:val="1E293B"/>
          <w:sz w:val="22"/>
          <w:szCs w:val="22"/>
        </w:rPr>
        <w:t xml:space="preserve">Kekhawatiran terbesar calon wakif sering kali bukan pada aspek syariah, melainkan pada keamanan dana: siapa yang mengawasi, dan apa yang terjadi bila terjadi penyimpangan. Bagian ini menjelaskan struktur pengawasan wakaf uang di Indonesia berdasarkan ketentuan yang berlaku saat ini.</w:t>
      </w:r>
    </w:p>
    <w:p>
      <w:pPr>
        <w:spacing w:after="0" w:before="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Siapa yang mengawasi pengelolaan wakaf uang di Indonesia?</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Pengawasan dilakukan berlapis: Kementerian Agama dan Otoritas Jasa Keuangan (OJK) mengawasi LKS-PWU sesuai kewenangan masing-masing, sedangkan Kementerian Agama bersama masyarakat mengawasi nazhir. Badan Wakaf Indonesia (BWI) turut berperan mengembangkan dan memberikan rekomendasi dalam pengelolaan wakaf secara nasional.</w:t>
            </w:r>
          </w:p>
          <w:p>
            <w:r>
              <w:rPr>
                <w:rFonts w:ascii="Calibri" w:cs="Calibri" w:eastAsia="Calibri" w:hAnsi="Calibri"/>
                <w:i/>
                <w:iCs/>
                <w:color w:val="64748B"/>
                <w:sz w:val="18"/>
                <w:szCs w:val="18"/>
              </w:rPr>
              <w:t xml:space="preserve">Rujukan: PMA No. 14 Tahun 2025, Pasal 27-29</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 peran Badan Wakaf Indonesia (BWI)?</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BWI adalah lembaga independen yang dibentuk untuk mengembangkan perwakafan nasional, termasuk memberikan rekomendasi penetapan LKS-PWU, melakukan uji kelayakan kompetensi calon nazhir, menerbitkan tanda bukti pendaftaran nazhir, serta menunjuk nazhir pengganti apabila terjadi wakaf terlantar.</w:t>
            </w:r>
          </w:p>
          <w:p>
            <w:r>
              <w:rPr>
                <w:rFonts w:ascii="Calibri" w:cs="Calibri" w:eastAsia="Calibri" w:hAnsi="Calibri"/>
                <w:i/>
                <w:iCs/>
                <w:color w:val="64748B"/>
                <w:sz w:val="18"/>
                <w:szCs w:val="18"/>
              </w:rPr>
              <w:t xml:space="preserve">Rujukan: UU No. 41 Tahun 2004; PMA No. 14 Tahun 2025, Pasal 4-15 dan 33</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Ke rekening jenis apa dana wakaf uang ditempatkan oleh LKS-PWU?</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LKS-PWU menempatkan uang wakaf ke dalam rekening titipan (wadiah) atas nama nazhir yang ditunjuk wakif, dan dapat pula menempatkannya ke dalam rekening simpanan dengan akad lain. Perlakuan penjaminan simpanan atas rekening tersebut mengikuti ketentuan Lembaga Penjamin Simpanan yang berlaku umum bagi rekening lembaga keuangan syariah; calon wakif disarankan menanyakan skema penempatan dana secara spesifik kepada LKS-PWU pilihannya.</w:t>
            </w:r>
          </w:p>
          <w:p>
            <w:r>
              <w:rPr>
                <w:rFonts w:ascii="Calibri" w:cs="Calibri" w:eastAsia="Calibri" w:hAnsi="Calibri"/>
                <w:i/>
                <w:iCs/>
                <w:color w:val="64748B"/>
                <w:sz w:val="18"/>
                <w:szCs w:val="18"/>
              </w:rPr>
              <w:t xml:space="preserve">Rujukan: PMA No. 14 Tahun 2025, Pasal 3 ayat (1) dan (2)</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Bagaimana Otoritas Jasa Keuangan mengawasi LKS-PWU seperti Bank Perekonomian Rakyat Syariah?</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Sejak berlakunya Undang-Undang Nomor 4 Tahun 2023 tentang Pengembangan dan Penguatan Sektor Keuangan (UU P2SK), nomenklatur "Bank Pembiayaan Rakyat Syariah" berubah menjadi "Bank Perekonomian Rakyat Syariah" (singkatan tetap BPR Syariah/BPRS). Lembaga ini kini tunduk pada Peraturan OJK Nomor 7 Tahun 2024 tentang Bank Perekonomian Rakyat dan Bank Perekonomian Rakyat Syariah untuk aspek kelembagaan, serta Peraturan OJK Nomor 25 Tahun 2024 tentang Penerapan Tata Kelola Syariah bagi Bank Perekonomian Rakyat Syariah, yang menggantikan Peraturan OJK Nomor 26 Tahun 2022.</w:t>
            </w:r>
          </w:p>
          <w:p>
            <w:r>
              <w:rPr>
                <w:rFonts w:ascii="Calibri" w:cs="Calibri" w:eastAsia="Calibri" w:hAnsi="Calibri"/>
                <w:i/>
                <w:iCs/>
                <w:color w:val="64748B"/>
                <w:sz w:val="18"/>
                <w:szCs w:val="18"/>
              </w:rPr>
              <w:t xml:space="preserve">Rujukan: UU No. 4 Tahun 2023; POJK No. 7 Tahun 2024; POJK No. 25 Tahun 2024</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Apakah nazhir bisa menyalahgunakan dana wakaf?</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Peraturan perundang-undangan menyediakan mekanisme pencegahan berupa kewajiban pelaporan berkala, pengawasan aktif dan pasif oleh Kementerian Agama, pengawasan oleh masyarakat melalui pengaduan, serta sanksi administratif dan sanksi pidana bagi nazhir yang menyalahgunakan, mengalihkan, atau menggunakan harta wakaf tidak sesuai peruntukannya.</w:t>
            </w:r>
          </w:p>
          <w:p>
            <w:r>
              <w:rPr>
                <w:rFonts w:ascii="Calibri" w:cs="Calibri" w:eastAsia="Calibri" w:hAnsi="Calibri"/>
                <w:i/>
                <w:iCs/>
                <w:color w:val="64748B"/>
                <w:sz w:val="18"/>
                <w:szCs w:val="18"/>
              </w:rPr>
              <w:t xml:space="preserve">Rujukan: UU No. 41 Tahun 2004; PMA No. 14 Tahun 2025, Pasal 29-32</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 sanksi bagi pihak yang menyelewengkan harta benda wakaf?</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Untuk pelanggaran administratif, PMA No. 14 Tahun 2025 mengatur sanksi bertingkat berupa peringatan tertulis (paling banyak tiga kali), penghentian sementara, hingga pencabutan penetapan LKS-PWU atau pencabutan surat keterangan terdaftar nazhir. Untuk pelanggaran yang bersifat pidana, seperti pengalihan atau penjaminan harta wakaf tanpa izin, UU No. 41 Tahun 2004 mengancam pidana penjara dan/atau denda.</w:t>
            </w:r>
          </w:p>
          <w:p>
            <w:r>
              <w:rPr>
                <w:rFonts w:ascii="Calibri" w:cs="Calibri" w:eastAsia="Calibri" w:hAnsi="Calibri"/>
                <w:i/>
                <w:iCs/>
                <w:color w:val="64748B"/>
                <w:sz w:val="18"/>
                <w:szCs w:val="18"/>
              </w:rPr>
              <w:t xml:space="preserve">Rujukan: PMA No. 14 Tahun 2025, Pasal 30-32; UU No. 41 Tahun 2004</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Bagaimana wakif memastikan transparansi laporan pengelolaan wakaf uang?</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LKS-PWU wajib menyampaikan laporan wakaf uang setiap 3 (tiga) bulan kepada Kementerian Agama dengan tembusan BWI dan OJK, sedangkan nazhir wajib menyampaikan laporan pengelolaan dan laporan keuangan setiap 6 (enam) bulan kepada BWI. Nazhir organisasi dan badan hukum juga wajib menyusun laporan keuangan sesuai PSAK 412: Akuntansi Wakaf dan mempublikasikan laporan pengelolaannya melalui media elektronik.</w:t>
            </w:r>
          </w:p>
          <w:p>
            <w:r>
              <w:rPr>
                <w:rFonts w:ascii="Calibri" w:cs="Calibri" w:eastAsia="Calibri" w:hAnsi="Calibri"/>
                <w:i/>
                <w:iCs/>
                <w:color w:val="64748B"/>
                <w:sz w:val="18"/>
                <w:szCs w:val="18"/>
              </w:rPr>
              <w:t xml:space="preserve">Rujukan: PMA No. 14 Tahun 2025, Pasal 25-26; PSAK 412</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Apakah berwakaf uang melalui Bank Perekonomian Rakyat Syariah aman?</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Bank Perekonomian Rakyat Syariah yang telah ditetapkan resmi sebagai LKS-PWU beroperasi di bawah pengawasan OJK sesuai Peraturan OJK Nomor 7 Tahun 2024 dan Peraturan OJK Nomor 25 Tahun 2024, sehingga secara kelembagaan tunduk pada standar tata kelola dan pengawasan perbankan syariah yang berlaku, meski keamanan spesifik suatu program wakaf tetap bergantung pada tata kelola masing-masing lembaga dan nazhir mitranya.</w:t>
            </w:r>
          </w:p>
          <w:p>
            <w:r>
              <w:rPr>
                <w:rFonts w:ascii="Calibri" w:cs="Calibri" w:eastAsia="Calibri" w:hAnsi="Calibri"/>
                <w:i/>
                <w:iCs/>
                <w:color w:val="64748B"/>
                <w:sz w:val="18"/>
                <w:szCs w:val="18"/>
              </w:rPr>
              <w:t xml:space="preserve">Rujukan: POJK No. 7 Tahun 2024; POJK No. 25 Tahun 2024</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 itu wakaf produktif dan apa risikonya?</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Wakaf produktif adalah pengelolaan harta wakaf melalui kegiatan usaha atau investasi syariah agar menghasilkan manfaat berkelanjutan. Sebagaimana kegiatan investasi pada umumnya, wakaf produktif memiliki risiko usaha, sehingga nazhir wajib menerapkan prinsip kehati-hatian dan sesuai syariah dalam pengelolaannya, serta bersedia diaudit secara berkala oleh lembaga audit independen.</w:t>
            </w:r>
          </w:p>
          <w:p>
            <w:r>
              <w:rPr>
                <w:rFonts w:ascii="Calibri" w:cs="Calibri" w:eastAsia="Calibri" w:hAnsi="Calibri"/>
                <w:i/>
                <w:iCs/>
                <w:color w:val="64748B"/>
                <w:sz w:val="18"/>
                <w:szCs w:val="18"/>
              </w:rPr>
              <w:t xml:space="preserve">Rujukan: UU No. 41 Tahun 2004; PMA No. 14 Tahun 2025, Pasal 9</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 yang terjadi pada dana wakaf jika nazhir atau LKS-PWU dikenai sanksi kelembagaan?</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Apabila LKS-PWU atau nazhir diberhentikan sementara atau dicabut penetapannya/surat keterangan terdaftarnya dalam kondisi sedang mengelola harta wakaf, harta tersebut dikategorikan sebagai wakaf terlantar dan pengelolaannya dialihkan kepada nazhir pengganti yang ditunjuk oleh BWI, sehingga dana wakaf tetap terjaga dan tidak kehilangan peruntukannya.</w:t>
            </w:r>
          </w:p>
          <w:p>
            <w:r>
              <w:rPr>
                <w:rFonts w:ascii="Calibri" w:cs="Calibri" w:eastAsia="Calibri" w:hAnsi="Calibri"/>
                <w:i/>
                <w:iCs/>
                <w:color w:val="64748B"/>
                <w:sz w:val="18"/>
                <w:szCs w:val="18"/>
              </w:rPr>
              <w:t xml:space="preserve">Rujukan: PMA No. 14 Tahun 2025, Pasal 33</w:t>
            </w:r>
          </w:p>
        </w:tc>
      </w:tr>
    </w:tbl>
    <w:p>
      <w:pPr>
        <w:spacing w:after="0" w:before="30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100"/>
            </w:pPr>
            <w:r>
              <w:rPr>
                <w:rFonts w:ascii="Calibri" w:cs="Calibri" w:eastAsia="Calibri" w:hAnsi="Calibri"/>
                <w:b/>
                <w:bCs/>
                <w:color w:val="065F46"/>
                <w:sz w:val="22"/>
                <w:szCs w:val="22"/>
              </w:rPr>
              <w:t xml:space="preserve">Ringkasan Poin Kunci</w:t>
            </w:r>
          </w:p>
          <w:p>
            <w:pPr>
              <w:spacing w:after="60"/>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Pengawasan wakaf uang berlapis: Kementerian Agama dan OJK mengawasi LKS-PWU, Kementerian Agama dan masyarakat mengawasi nazhir.</w:t>
            </w:r>
          </w:p>
          <w:p>
            <w:pPr>
              <w:spacing w:after="60"/>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PMA No. 14 Tahun 2025 mengatur sanksi administratif bertingkat, selain sanksi pidana dalam UU No. 41 Tahun 2004.</w:t>
            </w:r>
          </w:p>
          <w:p>
            <w:pPr>
              <w:spacing w:after="60"/>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Jika LKS-PWU/nazhir dicabut izinnya, harta wakaf yang dikelolanya dialihkan sebagai wakaf terlantar kepada nazhir baru yang ditunjuk BWI.</w:t>
            </w:r>
          </w:p>
        </w:tc>
      </w:tr>
    </w:tbl>
    <w:p>
      <w:r>
        <w:br w:type="page"/>
      </w:r>
    </w:p>
    <w:p>
      <w:pPr>
        <w:pStyle w:val="Heading1"/>
        <w:spacing w:after="80" w:before="200"/>
      </w:pPr>
      <w:r>
        <w:rPr>
          <w:rFonts w:ascii="Calibri" w:cs="Calibri" w:eastAsia="Calibri" w:hAnsi="Calibri"/>
          <w:b/>
          <w:bCs/>
          <w:color w:val="64748B"/>
          <w:sz w:val="22"/>
          <w:szCs w:val="22"/>
        </w:rPr>
        <w:t xml:space="preserve">Kelompok Pertanyaan 4</w:t>
      </w:r>
    </w:p>
    <w:p>
      <w:pPr>
        <w:pStyle w:val="Heading1"/>
        <w:spacing w:after="240"/>
      </w:pPr>
      <w:r>
        <w:rPr>
          <w:rFonts w:ascii="Calibri" w:cs="Calibri" w:eastAsia="Calibri" w:hAnsi="Calibri"/>
          <w:b/>
          <w:bCs/>
          <w:color w:val="065F46"/>
          <w:sz w:val="36"/>
          <w:szCs w:val="36"/>
        </w:rPr>
        <w:t xml:space="preserve">Manfaat, Pahala, dan Makna Wakaf</w:t>
      </w:r>
    </w:p>
    <w:p>
      <w:pPr>
        <w:spacing w:after="260"/>
      </w:pPr>
      <w:r>
        <w:rPr>
          <w:rFonts w:ascii="Calibri" w:cs="Calibri" w:eastAsia="Calibri" w:hAnsi="Calibri"/>
          <w:color w:val="1E293B"/>
          <w:sz w:val="22"/>
          <w:szCs w:val="22"/>
        </w:rPr>
        <w:t xml:space="preserve">Di luar aspek hukum dan teknis, banyak calon wakif ingin memahami makna spiritual dan manfaat sosial dari wakaf uang. Bagian ini menjawab pertanyaan seputar nilai ibadah dan dampak kebermanfaatan wakaf uang bagi masyarakat.</w:t>
      </w:r>
    </w:p>
    <w:p>
      <w:pPr>
        <w:spacing w:after="0" w:before="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 keutamaan wakaf uang secara syar'i?</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Wakaf termasuk amal jariyah yang pahalanya terus mengalir kepada wakif selama harta wakaf tersebut masih dimanfaatkan, menjadikannya salah satu bentuk ibadah harta yang keberlanjutannya melampaui usia wakif itu sendiri.</w:t>
            </w:r>
          </w:p>
          <w:p>
            <w:r>
              <w:rPr>
                <w:rFonts w:ascii="Calibri" w:cs="Calibri" w:eastAsia="Calibri" w:hAnsi="Calibri"/>
                <w:i/>
                <w:iCs/>
                <w:color w:val="64748B"/>
                <w:sz w:val="18"/>
                <w:szCs w:val="18"/>
              </w:rPr>
              <w:t xml:space="preserve">Rujukan: prinsip umum fikih wakaf</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Benarkah pahala wakaf terus mengalir meski wakif telah wafat?</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Ya, selama manfaat dari harta wakaf tersebut masih terus dirasakan oleh penerima manfaat, pahalanya dipahami ulama terus mengalir kepada wakif sebagai bagian dari amal jariyah, berbeda dengan sedekah biasa yang manfaatnya umumnya sekali pakai.</w:t>
            </w:r>
          </w:p>
          <w:p>
            <w:r>
              <w:rPr>
                <w:rFonts w:ascii="Calibri" w:cs="Calibri" w:eastAsia="Calibri" w:hAnsi="Calibri"/>
                <w:i/>
                <w:iCs/>
                <w:color w:val="64748B"/>
                <w:sz w:val="18"/>
                <w:szCs w:val="18"/>
              </w:rPr>
              <w:t xml:space="preserve">Rujukan: prinsip umum fikih wakaf</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Untuk apa saja hasil pengelolaan wakaf uang dapat dimanfaatkan?</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Hasil pengelolaan wakaf uang dapat disalurkan untuk berbagai bidang kemaslahatan umum, seperti sarana ibadah, pendidikan, kesehatan, pemberdayaan ekonomi, dan bantuan sosial, sesuai peruntukan yang disepakati antara wakif dan nazhir serta dicantumkan dalam Akta Ikrar Wakaf, sepanjang tidak bertentangan dengan syariah.</w:t>
            </w:r>
          </w:p>
          <w:p>
            <w:r>
              <w:rPr>
                <w:rFonts w:ascii="Calibri" w:cs="Calibri" w:eastAsia="Calibri" w:hAnsi="Calibri"/>
                <w:i/>
                <w:iCs/>
                <w:color w:val="64748B"/>
                <w:sz w:val="18"/>
                <w:szCs w:val="18"/>
              </w:rPr>
              <w:t xml:space="preserve">Rujukan: PMA No. 14 Tahun 2025, Pasal 22</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Apakah wakaf uang bisa digunakan untuk mendukung pendidikan?</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Bisa. Wakaf uang kerap disalurkan untuk mendukung operasional lembaga pendidikan, beasiswa, atau pembangunan fasilitas pendidikan, sebagai salah satu bentuk pemanfaatan yang umum dijalankan nazhir di Indonesia.</w:t>
            </w:r>
          </w:p>
          <w:p>
            <w:r>
              <w:rPr>
                <w:rFonts w:ascii="Calibri" w:cs="Calibri" w:eastAsia="Calibri" w:hAnsi="Calibri"/>
                <w:i/>
                <w:iCs/>
                <w:color w:val="64748B"/>
                <w:sz w:val="18"/>
                <w:szCs w:val="18"/>
              </w:rPr>
              <w:t xml:space="preserve">Rujukan: UU No. 41 Tahun 2004</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Apakah wakaf uang bisa digunakan untuk mendukung layanan kesehatan?</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Bisa. Sejumlah nazhir mengelola wakaf uang untuk mendukung layanan kesehatan masyarakat, misalnya subsidi biaya pengobatan atau pembangunan fasilitas kesehatan, selama peruntukan tersebut disepakati dan sesuai syariah.</w:t>
            </w:r>
          </w:p>
          <w:p>
            <w:r>
              <w:rPr>
                <w:rFonts w:ascii="Calibri" w:cs="Calibri" w:eastAsia="Calibri" w:hAnsi="Calibri"/>
                <w:i/>
                <w:iCs/>
                <w:color w:val="64748B"/>
                <w:sz w:val="18"/>
                <w:szCs w:val="18"/>
              </w:rPr>
              <w:t xml:space="preserve">Rujukan: UU No. 41 Tahun 2004</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Apakah wakaf uang bisa membantu pemberdayaan usaha mikro, kecil, dan menengah (UMKM)?</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Melalui skema wakaf produktif, dana wakaf uang dapat disalurkan sebagai pembiayaan syariah kepada UMKM, dengan hasil usahanya kembali dimanfaatkan untuk kepentingan sosial, sehingga wakaf turut berperan dalam pemberdayaan ekonomi umat.</w:t>
            </w:r>
          </w:p>
          <w:p>
            <w:r>
              <w:rPr>
                <w:rFonts w:ascii="Calibri" w:cs="Calibri" w:eastAsia="Calibri" w:hAnsi="Calibri"/>
                <w:i/>
                <w:iCs/>
                <w:color w:val="64748B"/>
                <w:sz w:val="18"/>
                <w:szCs w:val="18"/>
              </w:rPr>
              <w:t xml:space="preserve">Rujukan: UU No. 41 Tahun 2004</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Apakah wakaf termasuk dalam anjuran sedekah jariyah pada hadis?</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Ulama menempatkan wakaf sebagai salah satu bentuk konkret dari sedekah jariyah yang disebutkan dalam hadis, yaitu amal yang pahalanya terus mengalir selama manfaatnya masih dirasakan, meskipun pelakunya telah meninggal dunia.</w:t>
            </w:r>
          </w:p>
          <w:p>
            <w:r>
              <w:rPr>
                <w:rFonts w:ascii="Calibri" w:cs="Calibri" w:eastAsia="Calibri" w:hAnsi="Calibri"/>
                <w:i/>
                <w:iCs/>
                <w:color w:val="64748B"/>
                <w:sz w:val="18"/>
                <w:szCs w:val="18"/>
              </w:rPr>
              <w:t xml:space="preserve">Rujukan: prinsip umum fikih wakaf</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Bisakah seseorang berwakaf uang untuk diniatkan pahalanya bagi orang tua yang telah wafat?</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Bisa. Banyak wakif meniatkan wakaf uang sebagai amal jariyah yang pahalanya dihadiahkan (hibah pahala) kepada orang tua atau kerabat yang telah wafat, dan hal ini merupakan praktik yang umum dijumpai dalam program-program wakaf di Indonesia.</w:t>
            </w:r>
          </w:p>
          <w:p>
            <w:r>
              <w:rPr>
                <w:rFonts w:ascii="Calibri" w:cs="Calibri" w:eastAsia="Calibri" w:hAnsi="Calibri"/>
                <w:i/>
                <w:iCs/>
                <w:color w:val="64748B"/>
                <w:sz w:val="18"/>
                <w:szCs w:val="18"/>
              </w:rPr>
              <w:t xml:space="preserve">Rujukan: prinsip umum fikih wakaf</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Apakah wakaf uang bisa dilakukan secara kolektif atau atas nama keluarga?</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Bisa. Sejumlah nazhir menyediakan skema wakaf kolektif, misalnya patungan antaranggota keluarga atau komunitas, yang kemudian dicatat dan diterbitkan sertifikatnya sesuai kesepakatan bersama para wakif.</w:t>
            </w:r>
          </w:p>
          <w:p>
            <w:r>
              <w:rPr>
                <w:rFonts w:ascii="Calibri" w:cs="Calibri" w:eastAsia="Calibri" w:hAnsi="Calibri"/>
                <w:i/>
                <w:iCs/>
                <w:color w:val="64748B"/>
                <w:sz w:val="18"/>
                <w:szCs w:val="18"/>
              </w:rPr>
              <w:t xml:space="preserve">Rujukan: kebijakan internal LKS-PWU/nazhir</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 dampak sosial-ekonomi dari wakaf produktif bagi masyarakat luas?</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Wakaf produktif berpotensi menjadi sumber pendanaan berkelanjutan untuk layanan sosial, pendidikan, dan pemberdayaan ekonomi tanpa bergantung pada donasi berulang, karena pokok dananya tetap terjaga dan hanya hasil pengelolaannya yang disalurkan secara terus-menerus.</w:t>
            </w:r>
          </w:p>
          <w:p>
            <w:r>
              <w:rPr>
                <w:rFonts w:ascii="Calibri" w:cs="Calibri" w:eastAsia="Calibri" w:hAnsi="Calibri"/>
                <w:i/>
                <w:iCs/>
                <w:color w:val="64748B"/>
                <w:sz w:val="18"/>
                <w:szCs w:val="18"/>
              </w:rPr>
              <w:t xml:space="preserve">Rujukan: UU No. 41 Tahun 2004</w:t>
            </w:r>
          </w:p>
        </w:tc>
      </w:tr>
    </w:tbl>
    <w:p>
      <w:pPr>
        <w:spacing w:after="0" w:before="30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100"/>
            </w:pPr>
            <w:r>
              <w:rPr>
                <w:rFonts w:ascii="Calibri" w:cs="Calibri" w:eastAsia="Calibri" w:hAnsi="Calibri"/>
                <w:b/>
                <w:bCs/>
                <w:color w:val="065F46"/>
                <w:sz w:val="22"/>
                <w:szCs w:val="22"/>
              </w:rPr>
              <w:t xml:space="preserve">Ringkasan Poin Kunci</w:t>
            </w:r>
          </w:p>
          <w:p>
            <w:pPr>
              <w:spacing w:after="60"/>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Wakaf dipandang sebagai amal jariyah yang pahalanya terus mengalir selama manfaatnya dirasakan.</w:t>
            </w:r>
          </w:p>
          <w:p>
            <w:pPr>
              <w:spacing w:after="60"/>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Hasil wakaf uang dapat disalurkan ke berbagai bidang: pendidikan, kesehatan, dan pemberdayaan ekonomi, sesuai peruntukan dalam Akta Ikrar Wakaf.</w:t>
            </w:r>
          </w:p>
          <w:p>
            <w:pPr>
              <w:spacing w:after="60"/>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Wakaf produktif berpotensi menjadi sumber pendanaan sosial yang berkelanjutan.</w:t>
            </w:r>
          </w:p>
        </w:tc>
      </w:tr>
    </w:tbl>
    <w:p>
      <w:r>
        <w:br w:type="page"/>
      </w:r>
    </w:p>
    <w:p>
      <w:pPr>
        <w:pStyle w:val="Heading1"/>
        <w:spacing w:after="80" w:before="200"/>
      </w:pPr>
      <w:r>
        <w:rPr>
          <w:rFonts w:ascii="Calibri" w:cs="Calibri" w:eastAsia="Calibri" w:hAnsi="Calibri"/>
          <w:b/>
          <w:bCs/>
          <w:color w:val="64748B"/>
          <w:sz w:val="22"/>
          <w:szCs w:val="22"/>
        </w:rPr>
        <w:t xml:space="preserve">Kelompok Pertanyaan 5</w:t>
      </w:r>
    </w:p>
    <w:p>
      <w:pPr>
        <w:pStyle w:val="Heading1"/>
        <w:spacing w:after="240"/>
      </w:pPr>
      <w:r>
        <w:rPr>
          <w:rFonts w:ascii="Calibri" w:cs="Calibri" w:eastAsia="Calibri" w:hAnsi="Calibri"/>
          <w:b/>
          <w:bCs/>
          <w:color w:val="065F46"/>
          <w:sz w:val="36"/>
          <w:szCs w:val="36"/>
        </w:rPr>
        <w:t xml:space="preserve">Perbedaan Wakaf dengan Zakat dan Sedekah</w:t>
      </w:r>
    </w:p>
    <w:p>
      <w:pPr>
        <w:spacing w:after="260"/>
      </w:pPr>
      <w:r>
        <w:rPr>
          <w:rFonts w:ascii="Calibri" w:cs="Calibri" w:eastAsia="Calibri" w:hAnsi="Calibri"/>
          <w:color w:val="1E293B"/>
          <w:sz w:val="22"/>
          <w:szCs w:val="22"/>
        </w:rPr>
        <w:t xml:space="preserve">Wakaf, zakat, dan sedekah sama-sama merupakan bentuk pengeluaran harta dalam Islam, namun memiliki kedudukan hukum dan mekanisme yang berbeda. Kekeliruan memahami perbedaan ini sering membuat calon wakif ragu menentukan prioritas.</w:t>
      </w:r>
    </w:p>
    <w:p>
      <w:pPr>
        <w:spacing w:after="0" w:before="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 perbedaan mendasar antara wakaf, zakat, dan sedekah?</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Zakat bersifat wajib bagi yang memenuhi syarat (nisab dan haul) dengan penerima dan kadar yang diatur syariah secara spesifik; sedekah bersifat sukarela dan bebas bentuknya; sedangkan wakaf bersifat sukarela namun pokok hartanya wajib dijaga kelestariannya untuk dimanfaatkan secara berkelanjutan.</w:t>
            </w:r>
          </w:p>
          <w:p>
            <w:r>
              <w:rPr>
                <w:rFonts w:ascii="Calibri" w:cs="Calibri" w:eastAsia="Calibri" w:hAnsi="Calibri"/>
                <w:i/>
                <w:iCs/>
                <w:color w:val="64748B"/>
                <w:sz w:val="18"/>
                <w:szCs w:val="18"/>
              </w:rPr>
              <w:t xml:space="preserve">Rujukan: prinsip umum fikih</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Apakah wakaf uang hukumnya wajib seperti zakat?</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Tidak. Wakaf, termasuk wakaf uang, hukumnya jawaz (boleh)/sunnah, berbeda dengan zakat yang hukumnya wajib bagi muslim yang telah memenuhi syarat kepemilikan harta tertentu.</w:t>
            </w:r>
          </w:p>
          <w:p>
            <w:r>
              <w:rPr>
                <w:rFonts w:ascii="Calibri" w:cs="Calibri" w:eastAsia="Calibri" w:hAnsi="Calibri"/>
                <w:i/>
                <w:iCs/>
                <w:color w:val="64748B"/>
                <w:sz w:val="18"/>
                <w:szCs w:val="18"/>
              </w:rPr>
              <w:t xml:space="preserve">Rujukan: Fatwa MUI No. 2 Tahun 2002</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Apakah berwakaf menggugurkan kewajiban zakat seseorang?</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Tidak. Wakaf dan zakat adalah dua kewajiban dan anjuran yang berdiri sendiri; berwakaf tidak menggantikan atau menggugurkan kewajiban zakat yang telah memenuhi syarat nisab dan haul.</w:t>
            </w:r>
          </w:p>
          <w:p>
            <w:r>
              <w:rPr>
                <w:rFonts w:ascii="Calibri" w:cs="Calibri" w:eastAsia="Calibri" w:hAnsi="Calibri"/>
                <w:i/>
                <w:iCs/>
                <w:color w:val="64748B"/>
                <w:sz w:val="18"/>
                <w:szCs w:val="18"/>
              </w:rPr>
              <w:t xml:space="preserve">Rujukan: prinsip umum fikih</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Bolehkah dana zakat yang telah terkumpul diwakafkan oleh amil?</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Dana zakat memiliki delapan golongan penerima (asnaf) yang telah ditentukan syariah secara tegas, sehingga penyalurannya tidak dapat dialihkan menjadi wakaf; pengelolaan dan penyaluran zakat mengikuti ketentuan zakat tersendiri, terpisah dari mekanisme wakaf.</w:t>
            </w:r>
          </w:p>
          <w:p>
            <w:r>
              <w:rPr>
                <w:rFonts w:ascii="Calibri" w:cs="Calibri" w:eastAsia="Calibri" w:hAnsi="Calibri"/>
                <w:i/>
                <w:iCs/>
                <w:color w:val="64748B"/>
                <w:sz w:val="18"/>
                <w:szCs w:val="18"/>
              </w:rPr>
              <w:t xml:space="preserve">Rujukan: prinsip umum fikih zakat</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Bolehkah berwakaf uang dari harta yang belum dikeluarkan zakatnya?</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Selama harta tersebut adalah milik sah wakif, wakaf uang tetap dapat dilaksanakan; namun demikian, wakif tetap berkewajiban menunaikan zakat secara terpisah atas hartanya apabila telah memenuhi syarat nisab dan haul.</w:t>
            </w:r>
          </w:p>
          <w:p>
            <w:r>
              <w:rPr>
                <w:rFonts w:ascii="Calibri" w:cs="Calibri" w:eastAsia="Calibri" w:hAnsi="Calibri"/>
                <w:i/>
                <w:iCs/>
                <w:color w:val="64748B"/>
                <w:sz w:val="18"/>
                <w:szCs w:val="18"/>
              </w:rPr>
              <w:t xml:space="preserve">Rujukan: prinsip umum fikih</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 perbedaan wakaf dengan infak?</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Infak bersifat pengeluaran harta yang habis digunakan langsung untuk kepentingan penerimanya, sedangkan wakaf mensyaratkan pokok hartanya tetap terjaga dan yang disalurkan hanyalah hasil atau manfaat dari pengelolaannya.</w:t>
            </w:r>
          </w:p>
          <w:p>
            <w:r>
              <w:rPr>
                <w:rFonts w:ascii="Calibri" w:cs="Calibri" w:eastAsia="Calibri" w:hAnsi="Calibri"/>
                <w:i/>
                <w:iCs/>
                <w:color w:val="64748B"/>
                <w:sz w:val="18"/>
                <w:szCs w:val="18"/>
              </w:rPr>
              <w:t xml:space="preserve">Rujukan: prinsip umum fikih</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Apakah wakaf uang dikenai pajak?</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Ketentuan perpajakan atas wakaf, termasuk kemungkinan insentif atau pengecualian pajak, diatur dalam peraturan perpajakan tersendiri di luar UU Wakaf dan PMA No. 14 Tahun 2025; calon wakif dan nazhir disarankan berkonsultasi dengan otoritas pajak atau konsultan pajak untuk kepastian perlakuan pajak terkini (perlu verifikasi rujukan tambahan oleh editor).</w:t>
            </w:r>
          </w:p>
          <w:p>
            <w:r>
              <w:rPr>
                <w:rFonts w:ascii="Calibri" w:cs="Calibri" w:eastAsia="Calibri" w:hAnsi="Calibri"/>
                <w:i/>
                <w:iCs/>
                <w:color w:val="64748B"/>
                <w:sz w:val="18"/>
                <w:szCs w:val="18"/>
              </w:rPr>
              <w:t xml:space="preserve">Rujukan: perlu verifikasi rujukan tambahan oleh editor</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Apakah wakaf termasuk objek zakat maal (zakat harta)?</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Harta yang telah sah diwakafkan berpindah status kepemilikannya menjadi harta wakaf yang dikelola nazhir untuk kepentingan umum, sehingga secara prinsip tidak lagi diperlakukan sebagai harta milik pribadi yang dikenai zakat maal.</w:t>
            </w:r>
          </w:p>
          <w:p>
            <w:r>
              <w:rPr>
                <w:rFonts w:ascii="Calibri" w:cs="Calibri" w:eastAsia="Calibri" w:hAnsi="Calibri"/>
                <w:i/>
                <w:iCs/>
                <w:color w:val="64748B"/>
                <w:sz w:val="18"/>
                <w:szCs w:val="18"/>
              </w:rPr>
              <w:t xml:space="preserve">Rujukan: prinsip umum fikih</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Bolehkah satu lembaga nazhir sekaligus menjadi amil zakat?</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Secara kelembagaan dimungkinkan sepanjang lembaga tersebut memenuhi syarat dan izin masing-masing sebagai nazhir wakaf maupun sebagai amil zakat, namun pencatatan dan penyaluran dana zakat dan wakaf tetap wajib dipisahkan karena mengikuti aturan dan peruntukan yang berbeda, termasuk kewajiban nazhir memiliki daftar kekayaan yang terpisah dari harta benda wakaf.</w:t>
            </w:r>
          </w:p>
          <w:p>
            <w:r>
              <w:rPr>
                <w:rFonts w:ascii="Calibri" w:cs="Calibri" w:eastAsia="Calibri" w:hAnsi="Calibri"/>
                <w:i/>
                <w:iCs/>
                <w:color w:val="64748B"/>
                <w:sz w:val="18"/>
                <w:szCs w:val="18"/>
              </w:rPr>
              <w:t xml:space="preserve">Rujukan: PMA No. 14 Tahun 2025, Pasal 9</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Jika dana terbatas, mana yang sebaiknya didahulukan: zakat, infak, atau wakaf?</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Zakat yang telah memenuhi syarat wajib (nisab dan haul) sebaiknya didahulukan karena merupakan kewajiban, sedangkan infak dan wakaf bersifat anjuran yang dapat disesuaikan dengan kemampuan dan prioritas masing-masing individu setelah kewajiban zakatnya terpenuhi.</w:t>
            </w:r>
          </w:p>
          <w:p>
            <w:r>
              <w:rPr>
                <w:rFonts w:ascii="Calibri" w:cs="Calibri" w:eastAsia="Calibri" w:hAnsi="Calibri"/>
                <w:i/>
                <w:iCs/>
                <w:color w:val="64748B"/>
                <w:sz w:val="18"/>
                <w:szCs w:val="18"/>
              </w:rPr>
              <w:t xml:space="preserve">Rujukan: prinsip umum fikih</w:t>
            </w:r>
          </w:p>
        </w:tc>
      </w:tr>
    </w:tbl>
    <w:p>
      <w:pPr>
        <w:spacing w:after="0" w:before="30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100"/>
            </w:pPr>
            <w:r>
              <w:rPr>
                <w:rFonts w:ascii="Calibri" w:cs="Calibri" w:eastAsia="Calibri" w:hAnsi="Calibri"/>
                <w:b/>
                <w:bCs/>
                <w:color w:val="065F46"/>
                <w:sz w:val="22"/>
                <w:szCs w:val="22"/>
              </w:rPr>
              <w:t xml:space="preserve">Ringkasan Poin Kunci</w:t>
            </w:r>
          </w:p>
          <w:p>
            <w:pPr>
              <w:spacing w:after="60"/>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Zakat bersifat wajib dengan aturan spesifik, sedangkan wakaf dan sedekah bersifat anjuran (jawaz).</w:t>
            </w:r>
          </w:p>
          <w:p>
            <w:pPr>
              <w:spacing w:after="60"/>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Ciri khas wakaf: pokok harta dijaga, hanya hasil pengelolaannya yang disalurkan.</w:t>
            </w:r>
          </w:p>
          <w:p>
            <w:pPr>
              <w:spacing w:after="60"/>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Berwakaf tidak menggugurkan kewajiban zakat yang telah memenuhi syarat.</w:t>
            </w:r>
          </w:p>
        </w:tc>
      </w:tr>
    </w:tbl>
    <w:p>
      <w:r>
        <w:br w:type="page"/>
      </w:r>
    </w:p>
    <w:p>
      <w:pPr>
        <w:pStyle w:val="Heading1"/>
        <w:spacing w:after="80" w:before="200"/>
      </w:pPr>
      <w:r>
        <w:rPr>
          <w:rFonts w:ascii="Calibri" w:cs="Calibri" w:eastAsia="Calibri" w:hAnsi="Calibri"/>
          <w:b/>
          <w:bCs/>
          <w:color w:val="64748B"/>
          <w:sz w:val="22"/>
          <w:szCs w:val="22"/>
        </w:rPr>
        <w:t xml:space="preserve">Kelompok Pertanyaan 6</w:t>
      </w:r>
    </w:p>
    <w:p>
      <w:pPr>
        <w:pStyle w:val="Heading1"/>
        <w:spacing w:after="240"/>
      </w:pPr>
      <w:r>
        <w:rPr>
          <w:rFonts w:ascii="Calibri" w:cs="Calibri" w:eastAsia="Calibri" w:hAnsi="Calibri"/>
          <w:b/>
          <w:bCs/>
          <w:color w:val="065F46"/>
          <w:sz w:val="36"/>
          <w:szCs w:val="36"/>
        </w:rPr>
        <w:t xml:space="preserve">Sertifikat dan Bukti Wakaf</w:t>
      </w:r>
    </w:p>
    <w:p>
      <w:pPr>
        <w:spacing w:after="260"/>
      </w:pPr>
      <w:r>
        <w:rPr>
          <w:rFonts w:ascii="Calibri" w:cs="Calibri" w:eastAsia="Calibri" w:hAnsi="Calibri"/>
          <w:color w:val="1E293B"/>
          <w:sz w:val="22"/>
          <w:szCs w:val="22"/>
        </w:rPr>
        <w:t xml:space="preserve">Bagian penutup ini membahas dokumen-dokumen yang menjadi bukti sah pelaksanaan wakaf uang, termasuk perubahan bentuknya menjadi dokumen digital sejak berlakunya Peraturan Menteri Agama Nomor 14 Tahun 2025, agar wakif memahami hak dan cara memverifikasi keabsahan wakaf yang telah dilakukannya.</w:t>
      </w:r>
    </w:p>
    <w:p>
      <w:pPr>
        <w:spacing w:after="0" w:before="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 fungsi Sertifikat Wakaf Uang (SWU)?</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SWU berfungsi sebagai bukti tertulis bahwa seseorang telah sah mewakafkan sejumlah uang melalui LKS-PWU, sekaligus menjadi dokumen rujukan bagi wakif maupun nazhir dalam administrasi pengelolaan harta wakaf tersebut. SWU wajib diterbitkan untuk setiap penerimaan wakaf uang senilai Rp1.000.000,00 atau lebih.</w:t>
            </w:r>
          </w:p>
          <w:p>
            <w:r>
              <w:rPr>
                <w:rFonts w:ascii="Calibri" w:cs="Calibri" w:eastAsia="Calibri" w:hAnsi="Calibri"/>
                <w:i/>
                <w:iCs/>
                <w:color w:val="64748B"/>
                <w:sz w:val="18"/>
                <w:szCs w:val="18"/>
              </w:rPr>
              <w:t xml:space="preserve">Rujukan: PMA No. 14 Tahun 2025, Pasal 23-24</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 saja informasi minimal yang tercantum dalam SWU?</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Berdasarkan PMA No. 14 Tahun 2025, SWU paling sedikit memuat nama LKS-PWU, nama dan alamat wakif, jumlah wakaf uang, peruntukan wakaf, jangka waktu wakaf, nama dan alamat nazhir yang dipilih, serta tempat dan tanggal penerbitan SWU.</w:t>
            </w:r>
          </w:p>
          <w:p>
            <w:r>
              <w:rPr>
                <w:rFonts w:ascii="Calibri" w:cs="Calibri" w:eastAsia="Calibri" w:hAnsi="Calibri"/>
                <w:i/>
                <w:iCs/>
                <w:color w:val="64748B"/>
                <w:sz w:val="18"/>
                <w:szCs w:val="18"/>
              </w:rPr>
              <w:t xml:space="preserve">Rujukan: PMA No. 14 Tahun 2025, Pasal 23 ayat (5)</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Apakah Sertifikat Wakaf Uang bisa diwariskan?</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SWU bukan bukti kepemilikan harta pribadi yang dapat diwariskan, karena harta yang diwakafkan sudah beralih menjadi harta wakaf yang dikelola nazhir untuk kepentingan umum; SWU berfungsi sebagai dokumentasi bahwa wakaf telah dilaksanakan, bukan sebagai aset yang dapat dipindahtangankan. Pengecualian berlaku untuk wakaf berjangka waktu tertentu, yang pokoknya dikembalikan kepada wakif atau ahli waris setelah jangka waktu berakhir, bukan melalui pewarisan SWU itu sendiri.</w:t>
            </w:r>
          </w:p>
          <w:p>
            <w:r>
              <w:rPr>
                <w:rFonts w:ascii="Calibri" w:cs="Calibri" w:eastAsia="Calibri" w:hAnsi="Calibri"/>
                <w:i/>
                <w:iCs/>
                <w:color w:val="64748B"/>
                <w:sz w:val="18"/>
                <w:szCs w:val="18"/>
              </w:rPr>
              <w:t xml:space="preserve">Rujukan: PMA No. 14 Tahun 2025, Pasal 16 ayat (4)</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Apakah SWU sah sebagai bukti hukum atas pelaksanaan wakaf?</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Ya, SWU yang diterbitkan oleh LKS-PWU resmi merupakan bukti sah pelaksanaan wakaf uang sesuai mekanisme yang diatur dalam PMA No. 14 Tahun 2025, sehingga dapat digunakan sebagai rujukan administratif maupun hukum bila diperlukan, baik dalam bentuk dokumen digital maupun fisik.</w:t>
            </w:r>
          </w:p>
          <w:p>
            <w:r>
              <w:rPr>
                <w:rFonts w:ascii="Calibri" w:cs="Calibri" w:eastAsia="Calibri" w:hAnsi="Calibri"/>
                <w:i/>
                <w:iCs/>
                <w:color w:val="64748B"/>
                <w:sz w:val="18"/>
                <w:szCs w:val="18"/>
              </w:rPr>
              <w:t xml:space="preserve">Rujukan: PMA No. 14 Tahun 2025, Pasal 23</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 itu Akta Ikrar Wakaf (AIW) dan bedanya dengan SWU?</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AIW adalah dokumen yang memuat pernyataan kehendak wakif untuk mewakafkan hartanya, memuat nama dan identitas wakif, nazhir, serta saksi, data harta wakaf, peruntukan, dan jangka waktu wakaf. SWU adalah sertifikat terpisah yang diterbitkan LKS-PWU sebagai bukti penyerahan wakaf uang setelah wakif menyetorkan dananya.</w:t>
            </w:r>
          </w:p>
          <w:p>
            <w:r>
              <w:rPr>
                <w:rFonts w:ascii="Calibri" w:cs="Calibri" w:eastAsia="Calibri" w:hAnsi="Calibri"/>
                <w:i/>
                <w:iCs/>
                <w:color w:val="64748B"/>
                <w:sz w:val="18"/>
                <w:szCs w:val="18"/>
              </w:rPr>
              <w:t xml:space="preserve">Rujukan: PMA No. 14 Tahun 2025, Pasal 22-23</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Bagaimana jika Sertifikat Wakaf Uang hilang?</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Wakif sebaiknya segera menghubungi LKS-PWU penerbit untuk melaporkan kehilangan dan menanyakan prosedur penerbitan ulang atau surat keterangan pengganti. Karena SWU kini diterbitkan secara baku dalam bentuk dokumen digital, data wakaf pada dasarnya tetap tersimpan dalam sistem administrasi LKS-PWU dan dapat diminta ulang.</w:t>
            </w:r>
          </w:p>
          <w:p>
            <w:r>
              <w:rPr>
                <w:rFonts w:ascii="Calibri" w:cs="Calibri" w:eastAsia="Calibri" w:hAnsi="Calibri"/>
                <w:i/>
                <w:iCs/>
                <w:color w:val="64748B"/>
                <w:sz w:val="18"/>
                <w:szCs w:val="18"/>
              </w:rPr>
              <w:t xml:space="preserve">Rujukan: PMA No. 14 Tahun 2025, Pasal 23 ayat (2)</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Apakah wakaf uang wajib didaftarkan ke Badan Wakaf Indonesia?</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Ya, LKS-PWU wajib mendaftarkan wakaf uang kepada Menteri Agama atas nama nazhir, dan nazhir berbentuk badan hukum wajib didaftarkan pada Menteri Agama dan BWI melalui Kantor Urusan Agama setempat sebagai bagian dari mekanisme pengelolaan dan pengawasan wakaf nasional.</w:t>
            </w:r>
          </w:p>
          <w:p>
            <w:r>
              <w:rPr>
                <w:rFonts w:ascii="Calibri" w:cs="Calibri" w:eastAsia="Calibri" w:hAnsi="Calibri"/>
                <w:i/>
                <w:iCs/>
                <w:color w:val="64748B"/>
                <w:sz w:val="18"/>
                <w:szCs w:val="18"/>
              </w:rPr>
              <w:t xml:space="preserve">Rujukan: PMA No. 14 Tahun 2025, Pasal 3 dan 10</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Apa perbedaan Sertifikat Wakaf Uang dengan sertifikat investasi atau produk keuangan biasa?</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Sertifikat investasi biasa merepresentasikan kepemilikan atau klaim finansial yang dapat diperjualbelikan atau dicairkan oleh pemiliknya, sedangkan SWU semata-mata adalah bukti bahwa dana telah diwakafkan dan tidak merepresentasikan hak klaim finansial bagi wakif, kecuali pengembalian pokok yang secara khusus berlaku untuk wakaf berjangka waktu tertentu.</w:t>
            </w:r>
          </w:p>
          <w:p>
            <w:r>
              <w:rPr>
                <w:rFonts w:ascii="Calibri" w:cs="Calibri" w:eastAsia="Calibri" w:hAnsi="Calibri"/>
                <w:i/>
                <w:iCs/>
                <w:color w:val="64748B"/>
                <w:sz w:val="18"/>
                <w:szCs w:val="18"/>
              </w:rPr>
              <w:t xml:space="preserve">Rujukan: PMA No. 14 Tahun 2025; Fatwa MUI No. 2 Tahun 2002</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Bisakah wakif meminta laporan pemanfaatan dana wakafnya secara berkala?</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Wakif dapat menanyakan dan meminta informasi mengenai pemanfaatan dana wakafnya kepada nazhir. Nazhir wajib mempublikasikan laporan pengelolaan wakaf melalui media elektronik dan menyampaikan laporan pengelolaan serta laporan keuangan setiap 6 (enam) bulan kepada BWI, sehingga informasi tersebut semestinya dapat diakses publik.</w:t>
            </w:r>
          </w:p>
          <w:p>
            <w:r>
              <w:rPr>
                <w:rFonts w:ascii="Calibri" w:cs="Calibri" w:eastAsia="Calibri" w:hAnsi="Calibri"/>
                <w:i/>
                <w:iCs/>
                <w:color w:val="64748B"/>
                <w:sz w:val="18"/>
                <w:szCs w:val="18"/>
              </w:rPr>
              <w:t xml:space="preserve">Rujukan: PMA No. 14 Tahun 2025, Pasal 9 dan 26</w:t>
            </w:r>
          </w:p>
        </w:tc>
      </w:tr>
    </w:tbl>
    <w:p>
      <w:pPr>
        <w:spacing w:after="0" w:before="16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80"/>
            </w:pPr>
            <w:r>
              <w:rPr>
                <w:rFonts w:ascii="Calibri" w:cs="Calibri" w:eastAsia="Calibri" w:hAnsi="Calibri"/>
                <w:b/>
                <w:bCs/>
                <w:color w:val="065F46"/>
                <w:sz w:val="22"/>
                <w:szCs w:val="22"/>
              </w:rPr>
              <w:t xml:space="preserve">T: </w:t>
            </w:r>
            <w:r>
              <w:rPr>
                <w:rFonts w:ascii="Calibri" w:cs="Calibri" w:eastAsia="Calibri" w:hAnsi="Calibri"/>
                <w:b/>
                <w:bCs/>
                <w:color w:val="1E293B"/>
                <w:sz w:val="22"/>
                <w:szCs w:val="22"/>
              </w:rPr>
              <w:t xml:space="preserve">Ke mana calon wakif dapat mengonfirmasi keabsahan sebuah LKS-PWU?</w:t>
            </w:r>
          </w:p>
          <w:p>
            <w:pPr>
              <w:spacing w:after="80"/>
            </w:pPr>
            <w:r>
              <w:rPr>
                <w:rFonts w:ascii="Calibri" w:cs="Calibri" w:eastAsia="Calibri" w:hAnsi="Calibri"/>
                <w:b/>
                <w:bCs/>
                <w:color w:val="065F46"/>
                <w:sz w:val="22"/>
                <w:szCs w:val="22"/>
              </w:rPr>
              <w:t xml:space="preserve">J: </w:t>
            </w:r>
            <w:r>
              <w:rPr>
                <w:rFonts w:ascii="Calibri" w:cs="Calibri" w:eastAsia="Calibri" w:hAnsi="Calibri"/>
                <w:color w:val="1E293B"/>
                <w:sz w:val="22"/>
                <w:szCs w:val="22"/>
              </w:rPr>
              <w:t xml:space="preserve">Calon wakif dapat mengonfirmasi status resmi suatu lembaga sebagai LKS-PWU melalui Kementerian Agama (Direktorat Jenderal Bimbingan Masyarakat Islam), Badan Wakaf Indonesia, atau Otoritas Jasa Keuangan, sebagai langkah kehati-hatian sebelum menyalurkan dana wakafnya.</w:t>
            </w:r>
          </w:p>
          <w:p>
            <w:r>
              <w:rPr>
                <w:rFonts w:ascii="Calibri" w:cs="Calibri" w:eastAsia="Calibri" w:hAnsi="Calibri"/>
                <w:i/>
                <w:iCs/>
                <w:color w:val="64748B"/>
                <w:sz w:val="18"/>
                <w:szCs w:val="18"/>
              </w:rPr>
              <w:t xml:space="preserve">Rujukan: PMA No. 14 Tahun 2025; POJK No. 7 Tahun 2024</w:t>
            </w:r>
          </w:p>
        </w:tc>
      </w:tr>
    </w:tbl>
    <w:p>
      <w:pPr>
        <w:spacing w:after="0" w:before="300"/>
      </w:pPr>
    </w:p>
    <w:tbl>
      <w:tblPr>
        <w:tblW w:type="pct" w:w="100%"/>
        <w:tblBorders>
          <w:top w:val="single" w:color="065F46" w:sz="4"/>
          <w:left w:val="single" w:color="065F46" w:sz="12"/>
          <w:bottom w:val="single" w:color="065F46" w:sz="4"/>
          <w:right w:val="single" w:color="065F46" w:sz="4"/>
          <w:insideH w:val="single" w:color="auto" w:sz="4"/>
          <w:insideV w:val="single" w:color="auto" w:sz="4"/>
        </w:tblBorders>
      </w:tblPr>
      <w:tblGrid>
        <w:gridCol w:w="100"/>
      </w:tblGrid>
      <w:tr>
        <w:tc>
          <w:tcPr>
            <w:shd w:fill="ECFDF5" w:val="clear"/>
            <w:tcMar>
              <w:top w:type="dxa" w:w="160"/>
              <w:left w:type="dxa" w:w="220"/>
              <w:bottom w:type="dxa" w:w="160"/>
              <w:right w:type="dxa" w:w="220"/>
            </w:tcMar>
          </w:tcPr>
          <w:p>
            <w:pPr>
              <w:spacing w:after="100"/>
            </w:pPr>
            <w:r>
              <w:rPr>
                <w:rFonts w:ascii="Calibri" w:cs="Calibri" w:eastAsia="Calibri" w:hAnsi="Calibri"/>
                <w:b/>
                <w:bCs/>
                <w:color w:val="065F46"/>
                <w:sz w:val="22"/>
                <w:szCs w:val="22"/>
              </w:rPr>
              <w:t xml:space="preserve">Ringkasan Poin Kunci</w:t>
            </w:r>
          </w:p>
          <w:p>
            <w:pPr>
              <w:spacing w:after="60"/>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SWU adalah bukti sah pelaksanaan wakaf uang, kini berbentuk dokumen digital sebagai baku, dengan opsi dokumen fisik atas permintaan wakif.</w:t>
            </w:r>
          </w:p>
          <w:p>
            <w:pPr>
              <w:spacing w:after="60"/>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Wakaf uang wajib didaftarkan oleh LKS-PWU dan nazhir kepada Kementerian Agama dan BWI.</w:t>
            </w:r>
          </w:p>
          <w:p>
            <w:pPr>
              <w:spacing w:after="60"/>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Keabsahan sebuah LKS-PWU dapat dikonfirmasi melalui Kemenag, BWI, atau OJK.</w:t>
            </w:r>
          </w:p>
        </w:tc>
      </w:tr>
    </w:tbl>
    <w:p>
      <w:r>
        <w:br w:type="page"/>
      </w:r>
    </w:p>
    <w:p>
      <w:pPr>
        <w:pStyle w:val="Heading1"/>
        <w:spacing w:after="240" w:before="200"/>
      </w:pPr>
      <w:r>
        <w:rPr>
          <w:rFonts w:ascii="Calibri" w:cs="Calibri" w:eastAsia="Calibri" w:hAnsi="Calibri"/>
          <w:b/>
          <w:bCs/>
          <w:color w:val="065F46"/>
          <w:sz w:val="32"/>
          <w:szCs w:val="32"/>
        </w:rPr>
        <w:t xml:space="preserve">Daftar Istilah (Glosarium)</w:t>
      </w:r>
    </w:p>
    <w:p>
      <w:pPr>
        <w:spacing w:after="40"/>
      </w:pPr>
      <w:r>
        <w:rPr>
          <w:rFonts w:ascii="Calibri" w:cs="Calibri" w:eastAsia="Calibri" w:hAnsi="Calibri"/>
          <w:b/>
          <w:bCs/>
          <w:color w:val="065F46"/>
          <w:sz w:val="22"/>
          <w:szCs w:val="22"/>
        </w:rPr>
        <w:t xml:space="preserve">Wakif</w:t>
      </w:r>
    </w:p>
    <w:p>
      <w:pPr>
        <w:spacing w:after="160"/>
      </w:pPr>
      <w:r>
        <w:rPr>
          <w:rFonts w:ascii="Calibri" w:cs="Calibri" w:eastAsia="Calibri" w:hAnsi="Calibri"/>
          <w:color w:val="1E293B"/>
          <w:sz w:val="22"/>
          <w:szCs w:val="22"/>
        </w:rPr>
        <w:t xml:space="preserve">Pihak yang mewakafkan harta bendanya, baik perorangan, organisasi, maupun badan hukum.</w:t>
      </w:r>
    </w:p>
    <w:p>
      <w:pPr>
        <w:spacing w:after="40"/>
      </w:pPr>
      <w:r>
        <w:rPr>
          <w:rFonts w:ascii="Calibri" w:cs="Calibri" w:eastAsia="Calibri" w:hAnsi="Calibri"/>
          <w:b/>
          <w:bCs/>
          <w:color w:val="065F46"/>
          <w:sz w:val="22"/>
          <w:szCs w:val="22"/>
        </w:rPr>
        <w:t xml:space="preserve">Nazhir</w:t>
      </w:r>
    </w:p>
    <w:p>
      <w:pPr>
        <w:spacing w:after="160"/>
      </w:pPr>
      <w:r>
        <w:rPr>
          <w:rFonts w:ascii="Calibri" w:cs="Calibri" w:eastAsia="Calibri" w:hAnsi="Calibri"/>
          <w:color w:val="1E293B"/>
          <w:sz w:val="22"/>
          <w:szCs w:val="22"/>
        </w:rPr>
        <w:t xml:space="preserve">Pihak berbadan hukum yang menerima harta benda wakaf untuk dikelola dan dikembangkan sesuai peruntukannya.</w:t>
      </w:r>
    </w:p>
    <w:p>
      <w:pPr>
        <w:spacing w:after="40"/>
      </w:pPr>
      <w:r>
        <w:rPr>
          <w:rFonts w:ascii="Calibri" w:cs="Calibri" w:eastAsia="Calibri" w:hAnsi="Calibri"/>
          <w:b/>
          <w:bCs/>
          <w:color w:val="065F46"/>
          <w:sz w:val="22"/>
          <w:szCs w:val="22"/>
        </w:rPr>
        <w:t xml:space="preserve">Mauquf</w:t>
      </w:r>
    </w:p>
    <w:p>
      <w:pPr>
        <w:spacing w:after="160"/>
      </w:pPr>
      <w:r>
        <w:rPr>
          <w:rFonts w:ascii="Calibri" w:cs="Calibri" w:eastAsia="Calibri" w:hAnsi="Calibri"/>
          <w:color w:val="1E293B"/>
          <w:sz w:val="22"/>
          <w:szCs w:val="22"/>
        </w:rPr>
        <w:t xml:space="preserve">Harta benda yang diwakafkan, termasuk uang, tanah, dan benda bergerak lain.</w:t>
      </w:r>
    </w:p>
    <w:p>
      <w:pPr>
        <w:spacing w:after="40"/>
      </w:pPr>
      <w:r>
        <w:rPr>
          <w:rFonts w:ascii="Calibri" w:cs="Calibri" w:eastAsia="Calibri" w:hAnsi="Calibri"/>
          <w:b/>
          <w:bCs/>
          <w:color w:val="065F46"/>
          <w:sz w:val="22"/>
          <w:szCs w:val="22"/>
        </w:rPr>
        <w:t xml:space="preserve">Mauquf 'alaih</w:t>
      </w:r>
    </w:p>
    <w:p>
      <w:pPr>
        <w:spacing w:after="160"/>
      </w:pPr>
      <w:r>
        <w:rPr>
          <w:rFonts w:ascii="Calibri" w:cs="Calibri" w:eastAsia="Calibri" w:hAnsi="Calibri"/>
          <w:color w:val="1E293B"/>
          <w:sz w:val="22"/>
          <w:szCs w:val="22"/>
        </w:rPr>
        <w:t xml:space="preserve">Pihak yang ditunjuk untuk memperoleh manfaat dari peruntukan harta benda wakaf sesuai pernyataan kehendak wakif.</w:t>
      </w:r>
    </w:p>
    <w:p>
      <w:pPr>
        <w:spacing w:after="40"/>
      </w:pPr>
      <w:r>
        <w:rPr>
          <w:rFonts w:ascii="Calibri" w:cs="Calibri" w:eastAsia="Calibri" w:hAnsi="Calibri"/>
          <w:b/>
          <w:bCs/>
          <w:color w:val="065F46"/>
          <w:sz w:val="22"/>
          <w:szCs w:val="22"/>
        </w:rPr>
        <w:t xml:space="preserve">LKS-PWU</w:t>
      </w:r>
    </w:p>
    <w:p>
      <w:pPr>
        <w:spacing w:after="160"/>
      </w:pPr>
      <w:r>
        <w:rPr>
          <w:rFonts w:ascii="Calibri" w:cs="Calibri" w:eastAsia="Calibri" w:hAnsi="Calibri"/>
          <w:color w:val="1E293B"/>
          <w:sz w:val="22"/>
          <w:szCs w:val="22"/>
        </w:rPr>
        <w:t xml:space="preserve">Lembaga Keuangan Syariah Penerima Wakaf Uang, yaitu lembaga keuangan syariah yang ditetapkan Menteri Agama untuk menerima wakaf uang dan menerbitkan Sertifikat Wakaf Uang.</w:t>
      </w:r>
    </w:p>
    <w:p>
      <w:pPr>
        <w:spacing w:after="40"/>
      </w:pPr>
      <w:r>
        <w:rPr>
          <w:rFonts w:ascii="Calibri" w:cs="Calibri" w:eastAsia="Calibri" w:hAnsi="Calibri"/>
          <w:b/>
          <w:bCs/>
          <w:color w:val="065F46"/>
          <w:sz w:val="22"/>
          <w:szCs w:val="22"/>
        </w:rPr>
        <w:t xml:space="preserve">Wakaf produktif</w:t>
      </w:r>
    </w:p>
    <w:p>
      <w:pPr>
        <w:spacing w:after="160"/>
      </w:pPr>
      <w:r>
        <w:rPr>
          <w:rFonts w:ascii="Calibri" w:cs="Calibri" w:eastAsia="Calibri" w:hAnsi="Calibri"/>
          <w:color w:val="1E293B"/>
          <w:sz w:val="22"/>
          <w:szCs w:val="22"/>
        </w:rPr>
        <w:t xml:space="preserve">Pengelolaan harta wakaf melalui kegiatan usaha atau investasi syariah agar menghasilkan manfaat berkelanjutan.</w:t>
      </w:r>
    </w:p>
    <w:p>
      <w:pPr>
        <w:spacing w:after="40"/>
      </w:pPr>
      <w:r>
        <w:rPr>
          <w:rFonts w:ascii="Calibri" w:cs="Calibri" w:eastAsia="Calibri" w:hAnsi="Calibri"/>
          <w:b/>
          <w:bCs/>
          <w:color w:val="065F46"/>
          <w:sz w:val="22"/>
          <w:szCs w:val="22"/>
        </w:rPr>
        <w:t xml:space="preserve">Wakaf Uang</w:t>
      </w:r>
    </w:p>
    <w:p>
      <w:pPr>
        <w:spacing w:after="160"/>
      </w:pPr>
      <w:r>
        <w:rPr>
          <w:rFonts w:ascii="Calibri" w:cs="Calibri" w:eastAsia="Calibri" w:hAnsi="Calibri"/>
          <w:color w:val="1E293B"/>
          <w:sz w:val="22"/>
          <w:szCs w:val="22"/>
        </w:rPr>
        <w:t xml:space="preserve">Sebutan resmi untuk Wakaf Benda Bergerak Berupa Uang, yaitu perbuatan hukum wakif memisahkan dan/atau menyerahkan sebagian harta miliknya berupa uang untuk dimanfaatkan selamanya atau untuk jangka waktu tertentu guna keperluan ibadah dan/atau kesejahteraan umum.</w:t>
      </w:r>
    </w:p>
    <w:p>
      <w:pPr>
        <w:spacing w:after="40"/>
      </w:pPr>
      <w:r>
        <w:rPr>
          <w:rFonts w:ascii="Calibri" w:cs="Calibri" w:eastAsia="Calibri" w:hAnsi="Calibri"/>
          <w:b/>
          <w:bCs/>
          <w:color w:val="065F46"/>
          <w:sz w:val="22"/>
          <w:szCs w:val="22"/>
        </w:rPr>
        <w:t xml:space="preserve">Sertifikat Wakaf Uang (SWU)</w:t>
      </w:r>
    </w:p>
    <w:p>
      <w:pPr>
        <w:spacing w:after="160"/>
      </w:pPr>
      <w:r>
        <w:rPr>
          <w:rFonts w:ascii="Calibri" w:cs="Calibri" w:eastAsia="Calibri" w:hAnsi="Calibri"/>
          <w:color w:val="1E293B"/>
          <w:sz w:val="22"/>
          <w:szCs w:val="22"/>
        </w:rPr>
        <w:t xml:space="preserve">Surat bukti yang diterbitkan LKS-PWU kepada wakif dan nazhir tentang penyerahan wakaf uang, kini berbentuk baku dokumen digital.</w:t>
      </w:r>
    </w:p>
    <w:p>
      <w:pPr>
        <w:spacing w:after="40"/>
      </w:pPr>
      <w:r>
        <w:rPr>
          <w:rFonts w:ascii="Calibri" w:cs="Calibri" w:eastAsia="Calibri" w:hAnsi="Calibri"/>
          <w:b/>
          <w:bCs/>
          <w:color w:val="065F46"/>
          <w:sz w:val="22"/>
          <w:szCs w:val="22"/>
        </w:rPr>
        <w:t xml:space="preserve">Akta Ikrar Wakaf (AIW)</w:t>
      </w:r>
    </w:p>
    <w:p>
      <w:pPr>
        <w:spacing w:after="160"/>
      </w:pPr>
      <w:r>
        <w:rPr>
          <w:rFonts w:ascii="Calibri" w:cs="Calibri" w:eastAsia="Calibri" w:hAnsi="Calibri"/>
          <w:color w:val="1E293B"/>
          <w:sz w:val="22"/>
          <w:szCs w:val="22"/>
        </w:rPr>
        <w:t xml:space="preserve">Dokumen yang memuat pernyataan kehendak wakif untuk mewakafkan hartanya, memuat identitas wakif, nazhir, saksi, data harta wakaf, peruntukan, dan jangka waktu wakaf.</w:t>
      </w:r>
    </w:p>
    <w:p>
      <w:pPr>
        <w:spacing w:after="40"/>
      </w:pPr>
      <w:r>
        <w:rPr>
          <w:rFonts w:ascii="Calibri" w:cs="Calibri" w:eastAsia="Calibri" w:hAnsi="Calibri"/>
          <w:b/>
          <w:bCs/>
          <w:color w:val="065F46"/>
          <w:sz w:val="22"/>
          <w:szCs w:val="22"/>
        </w:rPr>
        <w:t xml:space="preserve">Badan Wakaf Indonesia (BWI)</w:t>
      </w:r>
    </w:p>
    <w:p>
      <w:pPr>
        <w:spacing w:after="160"/>
      </w:pPr>
      <w:r>
        <w:rPr>
          <w:rFonts w:ascii="Calibri" w:cs="Calibri" w:eastAsia="Calibri" w:hAnsi="Calibri"/>
          <w:color w:val="1E293B"/>
          <w:sz w:val="22"/>
          <w:szCs w:val="22"/>
        </w:rPr>
        <w:t xml:space="preserve">Lembaga independen yang dibentuk untuk mengembangkan perwakafan nasional di Indonesia.</w:t>
      </w:r>
    </w:p>
    <w:p>
      <w:pPr>
        <w:spacing w:after="40"/>
      </w:pPr>
      <w:r>
        <w:rPr>
          <w:rFonts w:ascii="Calibri" w:cs="Calibri" w:eastAsia="Calibri" w:hAnsi="Calibri"/>
          <w:b/>
          <w:bCs/>
          <w:color w:val="065F46"/>
          <w:sz w:val="22"/>
          <w:szCs w:val="22"/>
        </w:rPr>
        <w:t xml:space="preserve">Layanan Digital</w:t>
      </w:r>
    </w:p>
    <w:p>
      <w:pPr>
        <w:spacing w:after="160"/>
      </w:pPr>
      <w:r>
        <w:rPr>
          <w:rFonts w:ascii="Calibri" w:cs="Calibri" w:eastAsia="Calibri" w:hAnsi="Calibri"/>
          <w:color w:val="1E293B"/>
          <w:sz w:val="22"/>
          <w:szCs w:val="22"/>
        </w:rPr>
        <w:t xml:space="preserve">Layanan berbasis teknologi informasi melalui media elektronik yang memberikan akses bagi wakif dan/atau calon wakif untuk melakukan setoran wakaf uang secara tidak langsung.</w:t>
      </w:r>
    </w:p>
    <w:p>
      <w:pPr>
        <w:spacing w:after="40"/>
      </w:pPr>
      <w:r>
        <w:rPr>
          <w:rFonts w:ascii="Calibri" w:cs="Calibri" w:eastAsia="Calibri" w:hAnsi="Calibri"/>
          <w:b/>
          <w:bCs/>
          <w:color w:val="065F46"/>
          <w:sz w:val="22"/>
          <w:szCs w:val="22"/>
        </w:rPr>
        <w:t xml:space="preserve">Wakaf terlantar</w:t>
      </w:r>
    </w:p>
    <w:p>
      <w:pPr>
        <w:spacing w:after="160"/>
      </w:pPr>
      <w:r>
        <w:rPr>
          <w:rFonts w:ascii="Calibri" w:cs="Calibri" w:eastAsia="Calibri" w:hAnsi="Calibri"/>
          <w:color w:val="1E293B"/>
          <w:sz w:val="22"/>
          <w:szCs w:val="22"/>
        </w:rPr>
        <w:t xml:space="preserve">Status harta benda wakaf yang sedang dikelola oleh LKS-PWU atau nazhir yang diberhentikan sementara atau dicabut penetapan/surat keterangan terdaftarnya, sehingga pengelolaannya dialihkan kepada nazhir baru yang ditunjuk BWI.</w:t>
      </w:r>
    </w:p>
    <w:p>
      <w:pPr>
        <w:spacing w:after="40"/>
      </w:pPr>
      <w:r>
        <w:rPr>
          <w:rFonts w:ascii="Calibri" w:cs="Calibri" w:eastAsia="Calibri" w:hAnsi="Calibri"/>
          <w:b/>
          <w:bCs/>
          <w:color w:val="065F46"/>
          <w:sz w:val="22"/>
          <w:szCs w:val="22"/>
        </w:rPr>
        <w:t xml:space="preserve">Bank Perekonomian Rakyat Syariah (BPR Syariah)</w:t>
      </w:r>
    </w:p>
    <w:p>
      <w:pPr>
        <w:spacing w:after="160"/>
      </w:pPr>
      <w:r>
        <w:rPr>
          <w:rFonts w:ascii="Calibri" w:cs="Calibri" w:eastAsia="Calibri" w:hAnsi="Calibri"/>
          <w:color w:val="1E293B"/>
          <w:sz w:val="22"/>
          <w:szCs w:val="22"/>
        </w:rPr>
        <w:t xml:space="preserve">Nomenklatur resmi bagi lembaga yang sebelumnya disebut Bank Pembiayaan Rakyat Syariah, berdasarkan Undang-Undang Nomor 4 Tahun 2023 tentang Pengembangan dan Penguatan Sektor Keuangan; singkatan BPRS tetap digunakan.</w:t>
      </w:r>
    </w:p>
    <w:p>
      <w:r>
        <w:br w:type="page"/>
      </w:r>
    </w:p>
    <w:p>
      <w:pPr>
        <w:pStyle w:val="Heading1"/>
        <w:spacing w:after="240" w:before="200"/>
      </w:pPr>
      <w:r>
        <w:rPr>
          <w:rFonts w:ascii="Calibri" w:cs="Calibri" w:eastAsia="Calibri" w:hAnsi="Calibri"/>
          <w:b/>
          <w:bCs/>
          <w:color w:val="065F46"/>
          <w:sz w:val="32"/>
          <w:szCs w:val="32"/>
        </w:rPr>
        <w:t xml:space="preserve">Daftar Pustaka dan Rujukan Resmi</w:t>
      </w:r>
    </w:p>
    <w:p>
      <w:pPr>
        <w:pStyle w:val="Heading2"/>
        <w:spacing w:after="120" w:before="160"/>
      </w:pPr>
      <w:r>
        <w:rPr>
          <w:rFonts w:ascii="Calibri" w:cs="Calibri" w:eastAsia="Calibri" w:hAnsi="Calibri"/>
          <w:b/>
          <w:bCs/>
          <w:color w:val="1E293B"/>
          <w:sz w:val="24"/>
          <w:szCs w:val="24"/>
        </w:rPr>
        <w:t xml:space="preserve">Peraturan Perundang-undangan</w:t>
      </w:r>
    </w:p>
    <w:p>
      <w:pPr>
        <w:spacing w:after="100"/>
        <w:ind w:left="360" w:hanging="360"/>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Undang-Undang Nomor 41 Tahun 2004 tentang Wakaf. — </w:t>
      </w:r>
      <w:hyperlink w:history="1" r:id="rIdhvcoyitiieecdcugqhkht">
        <w:r>
          <w:rPr>
            <w:rFonts w:ascii="Calibri" w:cs="Calibri" w:eastAsia="Calibri" w:hAnsi="Calibri"/>
            <w:color w:val="1D4ED8"/>
            <w:sz w:val="22"/>
            <w:szCs w:val="22"/>
            <w:u w:val="single"/>
          </w:rPr>
          <w:t xml:space="preserve">https://peraturan.go.id/id/uu-no-41-tahun-2004</w:t>
        </w:r>
      </w:hyperlink>
    </w:p>
    <w:p>
      <w:pPr>
        <w:spacing w:after="100"/>
        <w:ind w:left="360" w:hanging="360"/>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Peraturan Pemerintah Nomor 42 Tahun 2006 tentang Pelaksanaan Undang-Undang Nomor 41 Tahun 2004 tentang Wakaf. — </w:t>
      </w:r>
      <w:hyperlink w:history="1" r:id="rIdnxrc-d0smzz2h7ofwb30a">
        <w:r>
          <w:rPr>
            <w:rFonts w:ascii="Calibri" w:cs="Calibri" w:eastAsia="Calibri" w:hAnsi="Calibri"/>
            <w:color w:val="1D4ED8"/>
            <w:sz w:val="22"/>
            <w:szCs w:val="22"/>
            <w:u w:val="single"/>
          </w:rPr>
          <w:t xml:space="preserve">https://peraturan.go.id/id/pp-no-42-tahun-2006</w:t>
        </w:r>
      </w:hyperlink>
    </w:p>
    <w:p>
      <w:pPr>
        <w:spacing w:after="100"/>
        <w:ind w:left="360" w:hanging="360"/>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Peraturan Pemerintah Nomor 25 Tahun 2018 tentang Perubahan atas Peraturan Pemerintah Nomor 42 Tahun 2006. — </w:t>
      </w:r>
      <w:hyperlink w:history="1" r:id="rId7u5oif9o_cclbn1dhqb19">
        <w:r>
          <w:rPr>
            <w:rFonts w:ascii="Calibri" w:cs="Calibri" w:eastAsia="Calibri" w:hAnsi="Calibri"/>
            <w:color w:val="1D4ED8"/>
            <w:sz w:val="22"/>
            <w:szCs w:val="22"/>
            <w:u w:val="single"/>
          </w:rPr>
          <w:t xml:space="preserve">https://peraturan.go.id/id/pp-no-25-tahun-2018</w:t>
        </w:r>
      </w:hyperlink>
    </w:p>
    <w:p>
      <w:pPr>
        <w:spacing w:after="100"/>
        <w:ind w:left="360" w:hanging="360"/>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Peraturan Menteri Agama Nomor 14 Tahun 2025 tentang Tata Cara Wakaf Benda Bergerak Berupa Uang. — </w:t>
      </w:r>
      <w:hyperlink w:history="1" r:id="rIdqqknzvfu1xcmpvfi19dhn">
        <w:r>
          <w:rPr>
            <w:rFonts w:ascii="Calibri" w:cs="Calibri" w:eastAsia="Calibri" w:hAnsi="Calibri"/>
            <w:color w:val="1D4ED8"/>
            <w:sz w:val="22"/>
            <w:szCs w:val="22"/>
            <w:u w:val="single"/>
          </w:rPr>
          <w:t xml:space="preserve">https://peraturan.go.id/id/permenag-no-14-tahun-2025</w:t>
        </w:r>
      </w:hyperlink>
    </w:p>
    <w:p>
      <w:pPr>
        <w:spacing w:after="100"/>
        <w:ind w:left="360" w:hanging="360"/>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Peraturan Menteri Agama Nomor 73 Tahun 2013 tentang Tata Cara Perwakafan Benda Tidak Bergerak dan Benda Bergerak Selain Uang. — </w:t>
      </w:r>
      <w:hyperlink w:history="1" r:id="rIdzw7xa50cgj4flnxh6ofwx">
        <w:r>
          <w:rPr>
            <w:rFonts w:ascii="Calibri" w:cs="Calibri" w:eastAsia="Calibri" w:hAnsi="Calibri"/>
            <w:color w:val="1D4ED8"/>
            <w:sz w:val="22"/>
            <w:szCs w:val="22"/>
            <w:u w:val="single"/>
          </w:rPr>
          <w:t xml:space="preserve">https://www.bwi.go.id/himpunan-peraturan-perundang-undangan-tentang-wakaf/</w:t>
        </w:r>
      </w:hyperlink>
    </w:p>
    <w:p>
      <w:pPr>
        <w:spacing w:after="100"/>
        <w:ind w:left="360" w:hanging="360"/>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Undang-Undang Nomor 4 Tahun 2023 tentang Pengembangan dan Penguatan Sektor Keuangan (UU P2SK). — </w:t>
      </w:r>
      <w:hyperlink w:history="1" r:id="rIdajvk5rej8fi2jhq2esdqv">
        <w:r>
          <w:rPr>
            <w:rFonts w:ascii="Calibri" w:cs="Calibri" w:eastAsia="Calibri" w:hAnsi="Calibri"/>
            <w:color w:val="1D4ED8"/>
            <w:sz w:val="22"/>
            <w:szCs w:val="22"/>
            <w:u w:val="single"/>
          </w:rPr>
          <w:t xml:space="preserve">https://ekonomi.republika.co.id/berita/rvea2b502/singkatan-bprs-resmi-ganti-jadi-bank-perekonomian-rakyat-syariah</w:t>
        </w:r>
      </w:hyperlink>
    </w:p>
    <w:p>
      <w:pPr>
        <w:spacing w:after="100"/>
        <w:ind w:left="360" w:hanging="360"/>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Peraturan Otoritas Jasa Keuangan Nomor 7 Tahun 2024 tentang Bank Perekonomian Rakyat dan Bank Perekonomian Rakyat Syariah. — </w:t>
      </w:r>
      <w:hyperlink w:history="1" r:id="rIdlrarl-onocfm-r21svxyo">
        <w:r>
          <w:rPr>
            <w:rFonts w:ascii="Calibri" w:cs="Calibri" w:eastAsia="Calibri" w:hAnsi="Calibri"/>
            <w:color w:val="1D4ED8"/>
            <w:sz w:val="22"/>
            <w:szCs w:val="22"/>
            <w:u w:val="single"/>
          </w:rPr>
          <w:t xml:space="preserve">https://www.ojk.go.id/id/regulasi/Pages/POJK-7-Tahun-2024-Bank-Perekonomian-Rakyat-dan-Bank-Perekonomian-Rakyat-Syariah.aspx</w:t>
        </w:r>
      </w:hyperlink>
    </w:p>
    <w:p>
      <w:pPr>
        <w:spacing w:after="100"/>
        <w:ind w:left="360" w:hanging="360"/>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Peraturan Otoritas Jasa Keuangan Nomor 25 Tahun 2024 tentang Penerapan Tata Kelola Syariah bagi Bank Perekonomian Rakyat Syariah. — </w:t>
      </w:r>
      <w:hyperlink w:history="1" r:id="rIdgvgyrqoyrnfq6sqhkrrnz">
        <w:r>
          <w:rPr>
            <w:rFonts w:ascii="Calibri" w:cs="Calibri" w:eastAsia="Calibri" w:hAnsi="Calibri"/>
            <w:color w:val="1D4ED8"/>
            <w:sz w:val="22"/>
            <w:szCs w:val="22"/>
            <w:u w:val="single"/>
          </w:rPr>
          <w:t xml:space="preserve">https://www.ojk.go.id/id/regulasi/Documents/Pages/POJK-25-Tahun-2024-Penerapan-Tata-Kelola-Syariah-Bagi-Bank-Perekonomian-Rakyat-Syariah/FAQ%20POJK%2025%20Tahun%202024%20Penerapan%20Tata%20Kelola%20Syariah%20Bagi%20Bank%20Perekonomian%20Rakyat%20Syariah.pdf</w:t>
        </w:r>
      </w:hyperlink>
    </w:p>
    <w:p>
      <w:pPr>
        <w:pStyle w:val="Heading2"/>
        <w:spacing w:after="120" w:before="160"/>
      </w:pPr>
      <w:r>
        <w:rPr>
          <w:rFonts w:ascii="Calibri" w:cs="Calibri" w:eastAsia="Calibri" w:hAnsi="Calibri"/>
          <w:b/>
          <w:bCs/>
          <w:color w:val="1E293B"/>
          <w:sz w:val="24"/>
          <w:szCs w:val="24"/>
        </w:rPr>
        <w:t xml:space="preserve">Fatwa dan Standar</w:t>
      </w:r>
    </w:p>
    <w:p>
      <w:pPr>
        <w:spacing w:after="100"/>
        <w:ind w:left="360" w:hanging="360"/>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Fatwa Majelis Ulama Indonesia Nomor 2 Tahun 2002 tentang Wakaf Uang. — </w:t>
      </w:r>
      <w:hyperlink w:history="1" r:id="rIdvcjxyqpy19jedqmhkpxn2">
        <w:r>
          <w:rPr>
            <w:rFonts w:ascii="Calibri" w:cs="Calibri" w:eastAsia="Calibri" w:hAnsi="Calibri"/>
            <w:color w:val="1D4ED8"/>
            <w:sz w:val="22"/>
            <w:szCs w:val="22"/>
            <w:u w:val="single"/>
          </w:rPr>
          <w:t xml:space="preserve">https://mui.or.id/baca/fatwa/wakaf-uang</w:t>
        </w:r>
      </w:hyperlink>
    </w:p>
    <w:p>
      <w:pPr>
        <w:spacing w:after="100"/>
        <w:ind w:left="360" w:hanging="360"/>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PSAK 412 (dahulu PSAK 112): Akuntansi Wakaf, disahkan Dewan Standar Akuntansi Syariah-Ikatan Akuntan Indonesia pada 7 November 2018, berlaku efektif 1 Januari 2021; penomoran diperbarui menjadi PSAK 412 efektif 1 Januari 2024. — </w:t>
      </w:r>
      <w:hyperlink w:history="1" r:id="rIdeexrwbnpmsm2ddem13vy9">
        <w:r>
          <w:rPr>
            <w:rFonts w:ascii="Calibri" w:cs="Calibri" w:eastAsia="Calibri" w:hAnsi="Calibri"/>
            <w:color w:val="1D4ED8"/>
            <w:sz w:val="22"/>
            <w:szCs w:val="22"/>
            <w:u w:val="single"/>
          </w:rPr>
          <w:t xml:space="preserve">https://web.iaiglobal.or.id/Berita-IAI/detail/telah_terbit_ilustrasi_penerapan_psak_syariah_tentang_akuntansi_wakaf</w:t>
        </w:r>
      </w:hyperlink>
    </w:p>
    <w:p>
      <w:pPr>
        <w:pStyle w:val="Heading2"/>
        <w:spacing w:after="120" w:before="160"/>
      </w:pPr>
      <w:r>
        <w:rPr>
          <w:rFonts w:ascii="Calibri" w:cs="Calibri" w:eastAsia="Calibri" w:hAnsi="Calibri"/>
          <w:b/>
          <w:bCs/>
          <w:color w:val="1E293B"/>
          <w:sz w:val="24"/>
          <w:szCs w:val="24"/>
        </w:rPr>
        <w:t xml:space="preserve">Sumber Lembaga Resmi</w:t>
      </w:r>
    </w:p>
    <w:p>
      <w:pPr>
        <w:spacing w:after="100"/>
        <w:ind w:left="360" w:hanging="360"/>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Badan Wakaf Indonesia (BWI) — </w:t>
      </w:r>
      <w:hyperlink w:history="1" r:id="rIdtuw6xftzbwokuoosml6bn">
        <w:r>
          <w:rPr>
            <w:rFonts w:ascii="Calibri" w:cs="Calibri" w:eastAsia="Calibri" w:hAnsi="Calibri"/>
            <w:color w:val="1D4ED8"/>
            <w:sz w:val="22"/>
            <w:szCs w:val="22"/>
            <w:u w:val="single"/>
          </w:rPr>
          <w:t xml:space="preserve">https://www.bwi.go.id</w:t>
        </w:r>
      </w:hyperlink>
    </w:p>
    <w:p>
      <w:pPr>
        <w:spacing w:after="100"/>
        <w:ind w:left="360" w:hanging="360"/>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Otoritas Jasa Keuangan (OJK) — </w:t>
      </w:r>
      <w:hyperlink w:history="1" r:id="rIddrru3yuqxewmcndq2lnrx">
        <w:r>
          <w:rPr>
            <w:rFonts w:ascii="Calibri" w:cs="Calibri" w:eastAsia="Calibri" w:hAnsi="Calibri"/>
            <w:color w:val="1D4ED8"/>
            <w:sz w:val="22"/>
            <w:szCs w:val="22"/>
            <w:u w:val="single"/>
          </w:rPr>
          <w:t xml:space="preserve">https://www.ojk.go.id</w:t>
        </w:r>
      </w:hyperlink>
    </w:p>
    <w:p>
      <w:pPr>
        <w:spacing w:after="100"/>
        <w:ind w:left="360" w:hanging="360"/>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Majelis Ulama Indonesia (MUI) — </w:t>
      </w:r>
      <w:hyperlink w:history="1" r:id="rIdwj4rmmst9vxptrmsgyocm">
        <w:r>
          <w:rPr>
            <w:rFonts w:ascii="Calibri" w:cs="Calibri" w:eastAsia="Calibri" w:hAnsi="Calibri"/>
            <w:color w:val="1D4ED8"/>
            <w:sz w:val="22"/>
            <w:szCs w:val="22"/>
            <w:u w:val="single"/>
          </w:rPr>
          <w:t xml:space="preserve">https://mui.or.id</w:t>
        </w:r>
      </w:hyperlink>
    </w:p>
    <w:p>
      <w:pPr>
        <w:spacing w:after="100"/>
        <w:ind w:left="360" w:hanging="360"/>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Ikatan Akuntan Indonesia (IAI) — </w:t>
      </w:r>
      <w:hyperlink w:history="1" r:id="rIdanvayjpfdhdfjbaukkl5c">
        <w:r>
          <w:rPr>
            <w:rFonts w:ascii="Calibri" w:cs="Calibri" w:eastAsia="Calibri" w:hAnsi="Calibri"/>
            <w:color w:val="1D4ED8"/>
            <w:sz w:val="22"/>
            <w:szCs w:val="22"/>
            <w:u w:val="single"/>
          </w:rPr>
          <w:t xml:space="preserve">https://web.iaiglobal.or.id</w:t>
        </w:r>
      </w:hyperlink>
    </w:p>
    <w:p>
      <w:pPr>
        <w:spacing w:after="100"/>
        <w:ind w:left="360" w:hanging="360"/>
      </w:pPr>
      <w:r>
        <w:rPr>
          <w:rFonts w:ascii="Calibri" w:cs="Calibri" w:eastAsia="Calibri" w:hAnsi="Calibri"/>
          <w:b/>
          <w:bCs/>
          <w:color w:val="065F46"/>
          <w:sz w:val="22"/>
          <w:szCs w:val="22"/>
        </w:rPr>
        <w:t xml:space="preserve">•  </w:t>
      </w:r>
      <w:r>
        <w:rPr>
          <w:rFonts w:ascii="Calibri" w:cs="Calibri" w:eastAsia="Calibri" w:hAnsi="Calibri"/>
          <w:color w:val="1E293B"/>
          <w:sz w:val="22"/>
          <w:szCs w:val="22"/>
        </w:rPr>
        <w:t xml:space="preserve">Kementerian Agama Republik Indonesia — </w:t>
      </w:r>
      <w:hyperlink w:history="1" r:id="rIdkngyx0zdm_cqlvvjur70s">
        <w:r>
          <w:rPr>
            <w:rFonts w:ascii="Calibri" w:cs="Calibri" w:eastAsia="Calibri" w:hAnsi="Calibri"/>
            <w:color w:val="1D4ED8"/>
            <w:sz w:val="22"/>
            <w:szCs w:val="22"/>
            <w:u w:val="single"/>
          </w:rPr>
          <w:t xml:space="preserve">https://kemenag.go.id</w:t>
        </w:r>
      </w:hyperlink>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65F46" w:sz="6" w:space="4"/>
      </w:pBdr>
      <w:jc w:val="center"/>
    </w:pPr>
    <w:r>
      <w:rPr>
        <w:rFonts w:ascii="Calibri" w:cs="Calibri" w:eastAsia="Calibri" w:hAnsi="Calibri"/>
        <w:color w:val="64748B"/>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65F46" w:sz="6" w:space="4"/>
      </w:pBdr>
      <w:jc w:val="right"/>
    </w:pPr>
    <w:r>
      <w:rPr>
        <w:rFonts w:ascii="Calibri" w:cs="Calibri" w:eastAsia="Calibri" w:hAnsi="Calibri"/>
        <w:b/>
        <w:bCs/>
        <w:color w:val="065F46"/>
        <w:sz w:val="16"/>
        <w:szCs w:val="16"/>
      </w:rPr>
      <w:t xml:space="preserve">SERI LITERASI WAKAF — NAZHIRLY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Calibri" w:cs="Calibri" w:eastAsia="Calibri" w:hAnsi="Calibri"/>
      <w:b/>
      <w:bCs/>
      <w:color w:val="065F46"/>
      <w:sz w:val="36"/>
      <w:szCs w:val="36"/>
    </w:rPr>
  </w:style>
  <w:style w:type="paragraph" w:styleId="Heading2">
    <w:name w:val="Heading 2"/>
    <w:basedOn w:val="Normal"/>
    <w:next w:val="Normal"/>
    <w:qFormat/>
    <w:pPr>
      <w:spacing w:after="120" w:before="200"/>
      <w:outlineLvl w:val="1"/>
    </w:pPr>
    <w:rPr>
      <w:rFonts w:ascii="Calibri" w:cs="Calibri" w:eastAsia="Calibri" w:hAnsi="Calibri"/>
      <w:b/>
      <w:bCs/>
      <w:color w:val="065F46"/>
      <w:sz w:val="26"/>
      <w:szCs w:val="26"/>
    </w:rPr>
  </w:style>
  <w:style w:type="paragraph" w:styleId="Heading3">
    <w:name w:val="Heading 3"/>
    <w:basedOn w:val="Normal"/>
    <w:next w:val="Normal"/>
    <w:qFormat/>
    <w:pPr>
      <w:spacing w:after="100" w:before="160"/>
      <w:outlineLvl w:val="2"/>
    </w:pPr>
    <w:rPr>
      <w:rFonts w:ascii="Calibri" w:cs="Calibri" w:eastAsia="Calibri" w:hAnsi="Calibri"/>
      <w:b/>
      <w:bCs/>
      <w:color w:val="065F46"/>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hvcoyitiieecdcugqhkht" Type="http://schemas.openxmlformats.org/officeDocument/2006/relationships/hyperlink" Target="https://peraturan.go.id/id/uu-no-41-tahun-2004" TargetMode="External"/><Relationship Id="rIdnxrc-d0smzz2h7ofwb30a" Type="http://schemas.openxmlformats.org/officeDocument/2006/relationships/hyperlink" Target="https://peraturan.go.id/id/pp-no-42-tahun-2006" TargetMode="External"/><Relationship Id="rId7u5oif9o_cclbn1dhqb19" Type="http://schemas.openxmlformats.org/officeDocument/2006/relationships/hyperlink" Target="https://peraturan.go.id/id/pp-no-25-tahun-2018" TargetMode="External"/><Relationship Id="rIdqqknzvfu1xcmpvfi19dhn" Type="http://schemas.openxmlformats.org/officeDocument/2006/relationships/hyperlink" Target="https://peraturan.go.id/id/permenag-no-14-tahun-2025" TargetMode="External"/><Relationship Id="rIdzw7xa50cgj4flnxh6ofwx" Type="http://schemas.openxmlformats.org/officeDocument/2006/relationships/hyperlink" Target="https://www.bwi.go.id/himpunan-peraturan-perundang-undangan-tentang-wakaf/" TargetMode="External"/><Relationship Id="rIdajvk5rej8fi2jhq2esdqv" Type="http://schemas.openxmlformats.org/officeDocument/2006/relationships/hyperlink" Target="https://ekonomi.republika.co.id/berita/rvea2b502/singkatan-bprs-resmi-ganti-jadi-bank-perekonomian-rakyat-syariah" TargetMode="External"/><Relationship Id="rIdlrarl-onocfm-r21svxyo" Type="http://schemas.openxmlformats.org/officeDocument/2006/relationships/hyperlink" Target="https://www.ojk.go.id/id/regulasi/Pages/POJK-7-Tahun-2024-Bank-Perekonomian-Rakyat-dan-Bank-Perekonomian-Rakyat-Syariah.aspx" TargetMode="External"/><Relationship Id="rIdgvgyrqoyrnfq6sqhkrrnz" Type="http://schemas.openxmlformats.org/officeDocument/2006/relationships/hyperlink" Target="https://www.ojk.go.id/id/regulasi/Documents/Pages/POJK-25-Tahun-2024-Penerapan-Tata-Kelola-Syariah-Bagi-Bank-Perekonomian-Rakyat-Syariah/FAQ%20POJK%2025%20Tahun%202024%20Penerapan%20Tata%20Kelola%20Syariah%20Bagi%20Bank%20Perekonomian%20Rakyat%20Syariah.pdf" TargetMode="External"/><Relationship Id="rIdvcjxyqpy19jedqmhkpxn2" Type="http://schemas.openxmlformats.org/officeDocument/2006/relationships/hyperlink" Target="https://mui.or.id/baca/fatwa/wakaf-uang" TargetMode="External"/><Relationship Id="rIdeexrwbnpmsm2ddem13vy9" Type="http://schemas.openxmlformats.org/officeDocument/2006/relationships/hyperlink" Target="https://web.iaiglobal.or.id/Berita-IAI/detail/telah_terbit_ilustrasi_penerapan_psak_syariah_tentang_akuntansi_wakaf" TargetMode="External"/><Relationship Id="rIdtuw6xftzbwokuoosml6bn" Type="http://schemas.openxmlformats.org/officeDocument/2006/relationships/hyperlink" Target="https://www.bwi.go.id" TargetMode="External"/><Relationship Id="rIddrru3yuqxewmcndq2lnrx" Type="http://schemas.openxmlformats.org/officeDocument/2006/relationships/hyperlink" Target="https://www.ojk.go.id" TargetMode="External"/><Relationship Id="rIdwj4rmmst9vxptrmsgyocm" Type="http://schemas.openxmlformats.org/officeDocument/2006/relationships/hyperlink" Target="https://mui.or.id" TargetMode="External"/><Relationship Id="rIdanvayjpfdhdfjbaukkl5c" Type="http://schemas.openxmlformats.org/officeDocument/2006/relationships/hyperlink" Target="https://web.iaiglobal.or.id" TargetMode="External"/><Relationship Id="rIdkngyx0zdm_cqlvvjur70s" Type="http://schemas.openxmlformats.org/officeDocument/2006/relationships/hyperlink" Target="https://kemenag.go.id"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Tanya Jawab Wakaf Uang</dc:title>
  <dc:creator>BPRS Baktimakmur Indah</dc:creator>
  <cp:lastModifiedBy>Un-named</cp:lastModifiedBy>
  <cp:revision>1</cp:revision>
  <dcterms:created xsi:type="dcterms:W3CDTF">2026-08-09T03:55:43.012Z</dcterms:created>
  <dcterms:modified xsi:type="dcterms:W3CDTF">2026-08-09T03:55:43.013Z</dcterms:modified>
</cp:coreProperties>
</file>

<file path=docProps/custom.xml><?xml version="1.0" encoding="utf-8"?>
<Properties xmlns="http://schemas.openxmlformats.org/officeDocument/2006/custom-properties" xmlns:vt="http://schemas.openxmlformats.org/officeDocument/2006/docPropsVTypes"/>
</file>